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89D1D" w14:textId="77777777" w:rsidR="00F236E8" w:rsidRDefault="00F236E8"/>
    <w:p w14:paraId="6CAAC4D9" w14:textId="233EC83D" w:rsidR="008E2D67" w:rsidRDefault="00F236E8">
      <w:r>
        <w:rPr>
          <w:b/>
        </w:rPr>
        <w:t xml:space="preserve">Abstract: </w:t>
      </w:r>
      <w:r>
        <w:t>Gene expression analysis was conducted on a dataset containing gene expression values for both clear cell renal carcinoma tumor cell samples and normal cell samples</w:t>
      </w:r>
      <w:r w:rsidR="00C848E2">
        <w:t>. The data was</w:t>
      </w:r>
      <w:r>
        <w:t xml:space="preserve"> taken from The Cancer Genome Atlas (TCGA). The analysis involved data wrangling, filtering, exploratory data analysis, differential expression and correlation analysis, and gene coexpression analysis via unsupervised machine learning (hierarchical clustering). </w:t>
      </w:r>
      <w:r w:rsidR="00A94E77">
        <w:t>The</w:t>
      </w:r>
      <w:r w:rsidR="004520D8">
        <w:t xml:space="preserve"> analysis was able to both demonstrate techniques for conducting basic gene expression analysis and discover evidence pertaining to lifestyle factors which can increase the risk of kidney cancer. A possible link between obesity and clear cell renal carcinoma was found. ANGPTL4 is </w:t>
      </w:r>
      <w:r w:rsidR="00A94E77">
        <w:t>over expressed in kidney cancer tumor cells relative to expression levels found in normal cells</w:t>
      </w:r>
      <w:r w:rsidR="00F94270">
        <w:t xml:space="preserve"> (with expression levels in tumor cells nearly double the levels found in normal cells). ANGPTL4 has been implicated in glucose intolerance and obesity in previous studies. Another goal of this project was to show how open-ended data analysis of gene expression datasets can be used to guide molecular biology research and hypothesis development. Here we show how data analysis techniques can be used to provide valuable insights into gene expression profiles, which can spearhead experimental studies and </w:t>
      </w:r>
      <w:r w:rsidR="004D2C04">
        <w:t>strengthen</w:t>
      </w:r>
      <w:r w:rsidR="008911F6">
        <w:t xml:space="preserve"> grant applications for research funding. </w:t>
      </w:r>
    </w:p>
    <w:p w14:paraId="1B173C89" w14:textId="26BC34FE" w:rsidR="002E37DC" w:rsidRDefault="008E2D67">
      <w:r>
        <w:rPr>
          <w:b/>
        </w:rPr>
        <w:t xml:space="preserve">Background and Objectives: </w:t>
      </w:r>
      <w:r>
        <w:t>The Cancer Genome Atlas (TCGA)</w:t>
      </w:r>
      <w:r w:rsidR="002E37DC">
        <w:t xml:space="preserve"> is a collaboration between the National Institute of Cancer (NIC) and the National Human Genome Research Institute (NHGRI).</w:t>
      </w:r>
      <w:r w:rsidR="002E37DC">
        <w:rPr>
          <w:rStyle w:val="EndnoteReference"/>
        </w:rPr>
        <w:endnoteReference w:id="1"/>
      </w:r>
      <w:r w:rsidR="002E37DC">
        <w:t xml:space="preserve"> The TCGA dataset comprises more than two petabytes of genomic data, with expression profiles and multi-dimensional maps of key genomic changes in 33 different types of cancer. See Id. This data is publicly available to assist the cancer research community in improving the prevention, diagnosis, and treatment of cancer. See Id. The dataset used in this analysis contains gene expression values taken from normal (healthy) cells and tumor cells (from patients with clear cell renal carcinoma). </w:t>
      </w:r>
    </w:p>
    <w:p w14:paraId="54133F41" w14:textId="06526DF8" w:rsidR="00AE3AF1" w:rsidRDefault="00D93973">
      <w:r>
        <w:t>Clear cell renal carcinoma is a form of kidney cancer which primarily afflicts men in their sixties and seventies.</w:t>
      </w:r>
      <w:r>
        <w:rPr>
          <w:rStyle w:val="EndnoteReference"/>
        </w:rPr>
        <w:endnoteReference w:id="2"/>
      </w:r>
      <w:r>
        <w:t xml:space="preserve"> It is called clear cell because the cells exhibit a clear cytoplasm surrounded by a distinct cell membrane containing round and uniform nuclei. See Id. In general, renal cell carcinomas are a kidney cancer that originates in the lining of the proximal convoluted tubule, a part of the network of small tubes in the kidney responsible for transporting urine. See Id. Initial treatment involves partial or complete surgical removal of the affected kidney, with a </w:t>
      </w:r>
      <w:r w:rsidR="00B34206">
        <w:t>five-year</w:t>
      </w:r>
      <w:r>
        <w:t xml:space="preserve"> </w:t>
      </w:r>
      <w:r w:rsidR="00B34206">
        <w:t>post-surgery</w:t>
      </w:r>
      <w:r>
        <w:t xml:space="preserve"> survival rate of between 65 and 90 percent.</w:t>
      </w:r>
      <w:r w:rsidR="00B34206">
        <w:t xml:space="preserve"> See Id.</w:t>
      </w:r>
      <w:r>
        <w:t xml:space="preserve"> </w:t>
      </w:r>
      <w:r w:rsidR="00B34206">
        <w:t xml:space="preserve">The greatest risk factors for renal cell carcinomas are lifestyle related e.g. obesity, smoking, and hypertension. See Id. </w:t>
      </w:r>
    </w:p>
    <w:p w14:paraId="235172C0" w14:textId="76C31827" w:rsidR="009D4216" w:rsidRDefault="009D4216">
      <w:r>
        <w:rPr>
          <w:b/>
        </w:rPr>
        <w:t>Problem statement</w:t>
      </w:r>
      <w:r w:rsidR="00B77C44">
        <w:rPr>
          <w:b/>
        </w:rPr>
        <w:t xml:space="preserve"> and target audience</w:t>
      </w:r>
      <w:r>
        <w:rPr>
          <w:b/>
        </w:rPr>
        <w:t xml:space="preserve">: </w:t>
      </w:r>
      <w:r w:rsidR="006F2536">
        <w:t xml:space="preserve">To aid in the development of treatment strategies for cancer, it is useful to understand the differences in gene expression between cancer cells and normal (healthy) cells. By better understanding the genes whose expression is either enhanced or suppressed in cancer cells, we both enrich our understanding of the biological pathways effected by deleterious </w:t>
      </w:r>
      <w:r w:rsidR="0027257D">
        <w:t>mutations and</w:t>
      </w:r>
      <w:r w:rsidR="006F2536">
        <w:t xml:space="preserve"> identify targets for drugs and other types of treatments. </w:t>
      </w:r>
    </w:p>
    <w:p w14:paraId="59C841DC" w14:textId="4006BFC7" w:rsidR="00926F3C" w:rsidRDefault="00926F3C">
      <w:r>
        <w:t xml:space="preserve">Data analysis can also be used to accelerate molecular biology research. </w:t>
      </w:r>
      <w:r w:rsidR="00662318">
        <w:t>For example, in a recent paper by L. La Paglia et al., titled “Potential Role of ANGPTL4 in the Cross Talk between Metabolism and Cancer through PPAR Signaling Pathway”</w:t>
      </w:r>
      <w:r w:rsidR="00453B5A">
        <w:t xml:space="preserve"> we find a buildup of research which began at least as early as 1990.</w:t>
      </w:r>
      <w:r w:rsidR="00453B5A">
        <w:rPr>
          <w:rStyle w:val="EndnoteReference"/>
        </w:rPr>
        <w:endnoteReference w:id="3"/>
      </w:r>
      <w:r w:rsidR="00453B5A">
        <w:t xml:space="preserve"> In other words, this study was the culmination of nearly 30 years of research by many different research institutions throughout the world. In this analysis, we identified ANGPTL4 as a gene of interest in the context of clear cell renal carcinoma </w:t>
      </w:r>
      <w:r w:rsidR="00B41E74">
        <w:t>within</w:t>
      </w:r>
      <w:r w:rsidR="00453B5A">
        <w:t xml:space="preserve"> the span of </w:t>
      </w:r>
      <w:r w:rsidR="00EC0FD1">
        <w:t>days</w:t>
      </w:r>
      <w:r w:rsidR="00453B5A">
        <w:t xml:space="preserve">. </w:t>
      </w:r>
      <w:r w:rsidR="008921E8">
        <w:t xml:space="preserve">While wet lab research </w:t>
      </w:r>
      <w:r w:rsidR="00B77C44">
        <w:t xml:space="preserve">is always required to characterize genes, understand their function, pathway, transcriptional/post-transcriptional </w:t>
      </w:r>
      <w:r w:rsidR="00B77C44">
        <w:lastRenderedPageBreak/>
        <w:t xml:space="preserve">regulation, common mutations, and their role in human disease, bioinformatics is increasingly driving molecular biology research, identifying new questions relevant to enhancing our understanding of human disease and our genome, and even hypothesis development. </w:t>
      </w:r>
    </w:p>
    <w:p w14:paraId="148AC3D3" w14:textId="35828834" w:rsidR="00B77C44" w:rsidRDefault="00B77C44">
      <w:r>
        <w:t xml:space="preserve">In this vein, it is important that novice bioinformaticians have ready access to resources to help them gain an intuition for genomic analysis, understanding the common statistical tests used in analysis, alternative methods which may be available, the strengths and weaknesses of those methods, and how to apply those techniques programmatically. </w:t>
      </w:r>
    </w:p>
    <w:p w14:paraId="3151696D" w14:textId="73CF8188" w:rsidR="00D809C5" w:rsidRDefault="00D809C5" w:rsidP="00D809C5">
      <w:pPr>
        <w:jc w:val="center"/>
        <w:rPr>
          <w:b/>
          <w:u w:val="single"/>
        </w:rPr>
      </w:pPr>
      <w:r>
        <w:rPr>
          <w:b/>
          <w:u w:val="single"/>
        </w:rPr>
        <w:t>DATA PREPARATION</w:t>
      </w:r>
    </w:p>
    <w:p w14:paraId="28D4902F" w14:textId="77777777" w:rsidR="00D809C5" w:rsidRDefault="00D809C5" w:rsidP="00D809C5">
      <w:r>
        <w:rPr>
          <w:b/>
        </w:rPr>
        <w:t xml:space="preserve">Importing dataset: </w:t>
      </w:r>
      <w:r>
        <w:t xml:space="preserve">Because of the large size of the dataset, it cannot be uploaded onto Github. However, the dataset can be accessed at: </w:t>
      </w:r>
    </w:p>
    <w:p w14:paraId="17735963" w14:textId="33D64431" w:rsidR="00E03606" w:rsidRDefault="00870A08" w:rsidP="00D809C5">
      <w:hyperlink r:id="rId8" w:history="1">
        <w:r w:rsidR="00D809C5" w:rsidRPr="002219B6">
          <w:rPr>
            <w:rStyle w:val="Hyperlink"/>
          </w:rPr>
          <w:t>https://tcga.xenahubs.net/download/TCGA.KIRC.sampleMap/HiSeqV2.gz</w:t>
        </w:r>
      </w:hyperlink>
    </w:p>
    <w:p w14:paraId="52BEA372" w14:textId="738EFCE8" w:rsidR="00D809C5" w:rsidRDefault="00D809C5" w:rsidP="00D809C5">
      <w:r>
        <w:t>The data was loaded into a Jupyter Notebook as a csv file using the Pandas read_csv function. Here is an image of the data head:</w:t>
      </w:r>
    </w:p>
    <w:p w14:paraId="4F893B6E" w14:textId="39016CB4" w:rsidR="00D809C5" w:rsidRDefault="00D809C5" w:rsidP="00D809C5">
      <w:r w:rsidRPr="00D809C5">
        <w:rPr>
          <w:noProof/>
        </w:rPr>
        <w:drawing>
          <wp:inline distT="0" distB="0" distL="0" distR="0" wp14:anchorId="6C019C5D" wp14:editId="0E5BC5EF">
            <wp:extent cx="5943600" cy="1666240"/>
            <wp:effectExtent l="0" t="0" r="0" b="0"/>
            <wp:docPr id="2" name="Picture 1">
              <a:extLst xmlns:a="http://schemas.openxmlformats.org/drawingml/2006/main">
                <a:ext uri="{FF2B5EF4-FFF2-40B4-BE49-F238E27FC236}">
                  <a16:creationId xmlns:a16="http://schemas.microsoft.com/office/drawing/2014/main" id="{6CE3B902-146F-4D99-BD5E-D7F088323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CE3B902-146F-4D99-BD5E-D7F08832390D}"/>
                        </a:ext>
                      </a:extLst>
                    </pic:cNvPr>
                    <pic:cNvPicPr>
                      <a:picLocks noChangeAspect="1"/>
                    </pic:cNvPicPr>
                  </pic:nvPicPr>
                  <pic:blipFill>
                    <a:blip r:embed="rId9"/>
                    <a:stretch>
                      <a:fillRect/>
                    </a:stretch>
                  </pic:blipFill>
                  <pic:spPr>
                    <a:xfrm>
                      <a:off x="0" y="0"/>
                      <a:ext cx="5943600" cy="1666240"/>
                    </a:xfrm>
                    <a:prstGeom prst="rect">
                      <a:avLst/>
                    </a:prstGeom>
                  </pic:spPr>
                </pic:pic>
              </a:graphicData>
            </a:graphic>
          </wp:inline>
        </w:drawing>
      </w:r>
    </w:p>
    <w:p w14:paraId="06B40C89" w14:textId="766B5FC6" w:rsidR="00D809C5" w:rsidRDefault="00D809C5" w:rsidP="00D809C5">
      <w:r>
        <w:t xml:space="preserve">The index was set to ‘sample’ (the first column – containing all the gene names). </w:t>
      </w:r>
    </w:p>
    <w:p w14:paraId="10462C10" w14:textId="0E5E3263" w:rsidR="00816A29" w:rsidRDefault="00816A29" w:rsidP="00D809C5">
      <w:pPr>
        <w:rPr>
          <w:b/>
        </w:rPr>
      </w:pPr>
      <w:r>
        <w:rPr>
          <w:b/>
        </w:rPr>
        <w:t xml:space="preserve">Data wrangling: </w:t>
      </w:r>
    </w:p>
    <w:p w14:paraId="4EBFB936" w14:textId="5C12173B" w:rsidR="00426F7A" w:rsidRDefault="00426F7A" w:rsidP="00D809C5">
      <w:r>
        <w:t>Good practices for preparation of gene expression datasets include setting the column with gene names as the index,</w:t>
      </w:r>
      <w:r w:rsidR="004E794C">
        <w:t xml:space="preserve"> either separating the data by condition or delineating between different conditions in your </w:t>
      </w:r>
      <w:r w:rsidR="00940E10">
        <w:t>analysis and</w:t>
      </w:r>
      <w:r w:rsidR="004E794C">
        <w:t xml:space="preserve"> dealing with missing values. </w:t>
      </w:r>
    </w:p>
    <w:p w14:paraId="2ABDDFA4" w14:textId="030DDE56" w:rsidR="00816A29" w:rsidRDefault="00816A29" w:rsidP="00816A29">
      <w:pPr>
        <w:pStyle w:val="ListParagraph"/>
        <w:numPr>
          <w:ilvl w:val="0"/>
          <w:numId w:val="3"/>
        </w:numPr>
      </w:pPr>
      <w:r>
        <w:t>First, all rows containing zero values were dropped</w:t>
      </w:r>
      <w:r w:rsidR="004E794C">
        <w:t xml:space="preserve"> to deal with missing values.</w:t>
      </w:r>
    </w:p>
    <w:p w14:paraId="46172BEF" w14:textId="73A142C0" w:rsidR="004E794C" w:rsidRDefault="004E794C" w:rsidP="004E794C">
      <w:pPr>
        <w:pStyle w:val="ListParagraph"/>
        <w:numPr>
          <w:ilvl w:val="1"/>
          <w:numId w:val="3"/>
        </w:numPr>
      </w:pPr>
      <w:r>
        <w:t xml:space="preserve">First, all zero values were converted to </w:t>
      </w:r>
      <w:proofErr w:type="spellStart"/>
      <w:r>
        <w:t>NaN</w:t>
      </w:r>
      <w:proofErr w:type="spellEnd"/>
      <w:r>
        <w:t>.</w:t>
      </w:r>
    </w:p>
    <w:p w14:paraId="0C8AC533" w14:textId="424D0F3D" w:rsidR="004E794C" w:rsidRDefault="004E794C" w:rsidP="004E794C">
      <w:pPr>
        <w:pStyle w:val="ListParagraph"/>
        <w:numPr>
          <w:ilvl w:val="1"/>
          <w:numId w:val="3"/>
        </w:numPr>
      </w:pPr>
      <w:r>
        <w:t xml:space="preserve">Then, all rows containing </w:t>
      </w:r>
      <w:proofErr w:type="spellStart"/>
      <w:r>
        <w:t>NaN</w:t>
      </w:r>
      <w:proofErr w:type="spellEnd"/>
      <w:r>
        <w:t xml:space="preserve"> were dropped.</w:t>
      </w:r>
    </w:p>
    <w:p w14:paraId="616F23F1" w14:textId="2DEB2F93" w:rsidR="00816A29" w:rsidRDefault="00816A29" w:rsidP="00816A29">
      <w:pPr>
        <w:pStyle w:val="ListParagraph"/>
        <w:numPr>
          <w:ilvl w:val="0"/>
          <w:numId w:val="3"/>
        </w:numPr>
      </w:pPr>
      <w:r>
        <w:t xml:space="preserve">Next, the data was split into two </w:t>
      </w:r>
      <w:r w:rsidR="004E794C">
        <w:t xml:space="preserve">Pandas </w:t>
      </w:r>
      <w:r>
        <w:t>dataframes</w:t>
      </w:r>
      <w:r w:rsidR="00940E10">
        <w:t xml:space="preserve"> using regular expressions</w:t>
      </w:r>
      <w:r>
        <w:t xml:space="preserve"> (one with cancer cell gene expression values, the other with normal cell gene expression values).</w:t>
      </w:r>
    </w:p>
    <w:p w14:paraId="328CF73D" w14:textId="6606C989" w:rsidR="00940E10" w:rsidRDefault="00940E10" w:rsidP="00940E10">
      <w:pPr>
        <w:pStyle w:val="ListParagraph"/>
        <w:numPr>
          <w:ilvl w:val="1"/>
          <w:numId w:val="3"/>
        </w:numPr>
      </w:pPr>
      <w:r>
        <w:t>The NIH codes column headers to identify the research institution, patient, and condition.</w:t>
      </w:r>
    </w:p>
    <w:p w14:paraId="2D6E828F" w14:textId="77884DE9" w:rsidR="00940E10" w:rsidRDefault="00940E10" w:rsidP="00940E10">
      <w:pPr>
        <w:pStyle w:val="ListParagraph"/>
        <w:numPr>
          <w:ilvl w:val="1"/>
          <w:numId w:val="3"/>
        </w:numPr>
      </w:pPr>
      <w:r>
        <w:t>The last two numbers of the column headers denote the condition. Numbers ending with 11 denote samples taken from healthy subjects, while numbers ending in 01 denote samples taken from subjects with cancer.</w:t>
      </w:r>
    </w:p>
    <w:p w14:paraId="334C5319" w14:textId="2637F104" w:rsidR="00816A29" w:rsidRDefault="00816A29" w:rsidP="00816A29">
      <w:pPr>
        <w:pStyle w:val="ListParagraph"/>
        <w:numPr>
          <w:ilvl w:val="0"/>
          <w:numId w:val="3"/>
        </w:numPr>
      </w:pPr>
      <w:r>
        <w:t xml:space="preserve">The following </w:t>
      </w:r>
      <w:r w:rsidR="00B41E74">
        <w:t>code</w:t>
      </w:r>
      <w:r>
        <w:t xml:space="preserve"> was used for both operations:</w:t>
      </w:r>
    </w:p>
    <w:p w14:paraId="3188159B" w14:textId="5A7288E4" w:rsidR="00816A29" w:rsidRPr="00816A29" w:rsidRDefault="00816A29" w:rsidP="00816A29">
      <w:r>
        <w:rPr>
          <w:noProof/>
        </w:rPr>
        <w:lastRenderedPageBreak/>
        <w:drawing>
          <wp:inline distT="0" distB="0" distL="0" distR="0" wp14:anchorId="68D40D10" wp14:editId="28A8452D">
            <wp:extent cx="5941695" cy="17729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695" cy="1772920"/>
                    </a:xfrm>
                    <a:prstGeom prst="rect">
                      <a:avLst/>
                    </a:prstGeom>
                    <a:noFill/>
                    <a:ln>
                      <a:noFill/>
                    </a:ln>
                  </pic:spPr>
                </pic:pic>
              </a:graphicData>
            </a:graphic>
          </wp:inline>
        </w:drawing>
      </w:r>
    </w:p>
    <w:p w14:paraId="60FE7139" w14:textId="36EE0CAA" w:rsidR="00D809C5" w:rsidRPr="00D809C5" w:rsidRDefault="00D809C5" w:rsidP="00D809C5"/>
    <w:p w14:paraId="6E1E11B6" w14:textId="49C1E5CA" w:rsidR="00D809C5" w:rsidRDefault="00816A29" w:rsidP="00816A29">
      <w:r>
        <w:t>Because the original dataset was normalized and log2 transformed, no additional preprocessing was required.</w:t>
      </w:r>
      <w:r w:rsidR="004E794C">
        <w:t xml:space="preserve"> It’s important to note, </w:t>
      </w:r>
      <w:r w:rsidR="00940E10">
        <w:t>alternative</w:t>
      </w:r>
      <w:r w:rsidR="00F67F89">
        <w:t xml:space="preserve"> techniques for filtering gene expression data </w:t>
      </w:r>
      <w:r w:rsidR="004E794C">
        <w:t xml:space="preserve">may involve dropping rows where the z-score (of mean expression values) </w:t>
      </w:r>
      <w:r w:rsidR="00F67F89">
        <w:t>is</w:t>
      </w:r>
      <w:r w:rsidR="004E794C">
        <w:t xml:space="preserve"> below </w:t>
      </w:r>
      <w:r w:rsidR="00F67F89">
        <w:t>a preset</w:t>
      </w:r>
      <w:r w:rsidR="004E794C">
        <w:t xml:space="preserve"> threshold or using the IQR method (and dropping rows where mean expression values fall outside the interquartile range).</w:t>
      </w:r>
      <w:r w:rsidR="00F67F89">
        <w:t xml:space="preserve"> While those methods were not used here, a copy of the Capstone Project Jupyter Notebook was created to demonstrate the code we would use to employ </w:t>
      </w:r>
      <w:r w:rsidR="00FC74E9">
        <w:t xml:space="preserve">these </w:t>
      </w:r>
      <w:r w:rsidR="00F67F89">
        <w:t>alternative techniques:</w:t>
      </w:r>
    </w:p>
    <w:p w14:paraId="1DA2E1D1" w14:textId="4BB209EA" w:rsidR="00F67F89" w:rsidRDefault="00F67F89" w:rsidP="00F67F89">
      <w:pPr>
        <w:spacing w:after="0" w:line="240" w:lineRule="auto"/>
      </w:pPr>
      <w:r>
        <w:rPr>
          <w:noProof/>
        </w:rPr>
        <w:drawing>
          <wp:inline distT="0" distB="0" distL="0" distR="0" wp14:anchorId="249F6FE7" wp14:editId="56F665FA">
            <wp:extent cx="5941695" cy="44640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695" cy="446405"/>
                    </a:xfrm>
                    <a:prstGeom prst="rect">
                      <a:avLst/>
                    </a:prstGeom>
                    <a:noFill/>
                    <a:ln>
                      <a:noFill/>
                    </a:ln>
                  </pic:spPr>
                </pic:pic>
              </a:graphicData>
            </a:graphic>
          </wp:inline>
        </w:drawing>
      </w:r>
    </w:p>
    <w:p w14:paraId="08334248" w14:textId="5BF5A18A" w:rsidR="00F67F89" w:rsidRDefault="00FC74E9" w:rsidP="00F67F89">
      <w:pPr>
        <w:spacing w:after="0" w:line="240" w:lineRule="auto"/>
        <w:rPr>
          <w:sz w:val="16"/>
          <w:szCs w:val="16"/>
        </w:rPr>
      </w:pPr>
      <w:r>
        <w:rPr>
          <w:sz w:val="16"/>
          <w:szCs w:val="16"/>
        </w:rPr>
        <w:t xml:space="preserve">     </w:t>
      </w:r>
      <w:r w:rsidR="00F67F89">
        <w:rPr>
          <w:sz w:val="16"/>
          <w:szCs w:val="16"/>
        </w:rPr>
        <w:t>This code drops all rows with a z-score less than 3.</w:t>
      </w:r>
    </w:p>
    <w:p w14:paraId="07D21B38" w14:textId="79430D49" w:rsidR="00F67F89" w:rsidRDefault="00F67F89" w:rsidP="00F67F89">
      <w:pPr>
        <w:spacing w:after="0" w:line="240" w:lineRule="auto"/>
        <w:rPr>
          <w:sz w:val="16"/>
          <w:szCs w:val="16"/>
        </w:rPr>
      </w:pPr>
    </w:p>
    <w:p w14:paraId="1C61A7C7" w14:textId="70BEEBFD" w:rsidR="00FC74E9" w:rsidRDefault="00FC74E9" w:rsidP="00F67F89">
      <w:pPr>
        <w:spacing w:after="0" w:line="240" w:lineRule="auto"/>
        <w:rPr>
          <w:sz w:val="16"/>
          <w:szCs w:val="16"/>
        </w:rPr>
      </w:pPr>
      <w:r>
        <w:rPr>
          <w:noProof/>
          <w:sz w:val="16"/>
          <w:szCs w:val="16"/>
        </w:rPr>
        <w:drawing>
          <wp:inline distT="0" distB="0" distL="0" distR="0" wp14:anchorId="43617B9C" wp14:editId="675CDE09">
            <wp:extent cx="5937250" cy="5924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592455"/>
                    </a:xfrm>
                    <a:prstGeom prst="rect">
                      <a:avLst/>
                    </a:prstGeom>
                    <a:noFill/>
                    <a:ln>
                      <a:noFill/>
                    </a:ln>
                  </pic:spPr>
                </pic:pic>
              </a:graphicData>
            </a:graphic>
          </wp:inline>
        </w:drawing>
      </w:r>
    </w:p>
    <w:p w14:paraId="45543AB9" w14:textId="6BC07BB9" w:rsidR="00F67F89" w:rsidRDefault="00FC74E9" w:rsidP="00F67F89">
      <w:pPr>
        <w:spacing w:after="0" w:line="240" w:lineRule="auto"/>
        <w:rPr>
          <w:sz w:val="16"/>
          <w:szCs w:val="16"/>
        </w:rPr>
      </w:pPr>
      <w:r>
        <w:rPr>
          <w:sz w:val="16"/>
          <w:szCs w:val="16"/>
        </w:rPr>
        <w:t xml:space="preserve">     This code shows an implementation of the IQR method.</w:t>
      </w:r>
    </w:p>
    <w:p w14:paraId="5257621D" w14:textId="7D5BE0C0" w:rsidR="00FC74E9" w:rsidRDefault="00FC74E9" w:rsidP="00F67F89">
      <w:pPr>
        <w:spacing w:after="0" w:line="240" w:lineRule="auto"/>
        <w:rPr>
          <w:sz w:val="16"/>
          <w:szCs w:val="16"/>
        </w:rPr>
      </w:pPr>
    </w:p>
    <w:p w14:paraId="50E2F9E4" w14:textId="22BB6339" w:rsidR="00816A29" w:rsidRDefault="00816A29" w:rsidP="00816A29">
      <w:pPr>
        <w:rPr>
          <w:b/>
        </w:rPr>
      </w:pPr>
      <w:r>
        <w:rPr>
          <w:b/>
        </w:rPr>
        <w:t>Exploratory data analysis:</w:t>
      </w:r>
    </w:p>
    <w:p w14:paraId="09DA4BBD" w14:textId="2D61F4D8" w:rsidR="00816A29" w:rsidRDefault="00816A29" w:rsidP="00816A29">
      <w:r>
        <w:t>First, density plots were generated to confirm the shape of the distribution:</w:t>
      </w:r>
    </w:p>
    <w:p w14:paraId="21FADB69" w14:textId="06D3A081" w:rsidR="00816A29" w:rsidRDefault="00816A29" w:rsidP="00064FF5">
      <w:pPr>
        <w:spacing w:after="0" w:line="240" w:lineRule="auto"/>
        <w:jc w:val="center"/>
      </w:pPr>
      <w:r>
        <w:rPr>
          <w:noProof/>
        </w:rPr>
        <w:drawing>
          <wp:inline distT="0" distB="0" distL="0" distR="0" wp14:anchorId="7AD1147A" wp14:editId="2FC823EA">
            <wp:extent cx="4014216" cy="2560320"/>
            <wp:effectExtent l="0" t="0" r="0" b="0"/>
            <wp:docPr id="3" name="Picture 3" descr="C:\Users\Frank\AppData\Local\Microsoft\Windows\INetCache\Content.MSO\4152A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k\AppData\Local\Microsoft\Windows\INetCache\Content.MSO\4152A1F4.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4216" cy="2560320"/>
                    </a:xfrm>
                    <a:prstGeom prst="rect">
                      <a:avLst/>
                    </a:prstGeom>
                    <a:noFill/>
                    <a:ln>
                      <a:noFill/>
                    </a:ln>
                  </pic:spPr>
                </pic:pic>
              </a:graphicData>
            </a:graphic>
          </wp:inline>
        </w:drawing>
      </w:r>
    </w:p>
    <w:p w14:paraId="7FC119B9" w14:textId="511E9684" w:rsidR="000412CC" w:rsidRDefault="000412CC" w:rsidP="000412CC">
      <w:pPr>
        <w:spacing w:after="0" w:line="240" w:lineRule="auto"/>
        <w:rPr>
          <w:sz w:val="18"/>
          <w:szCs w:val="18"/>
        </w:rPr>
      </w:pPr>
      <w:r>
        <w:tab/>
      </w:r>
      <w:r w:rsidR="00064FF5">
        <w:tab/>
      </w:r>
      <w:r w:rsidR="00064FF5">
        <w:tab/>
      </w:r>
      <w:r>
        <w:rPr>
          <w:sz w:val="18"/>
          <w:szCs w:val="18"/>
        </w:rPr>
        <w:t>Density plot for dataframe containing normal cell gene expression values.</w:t>
      </w:r>
    </w:p>
    <w:p w14:paraId="6D304448" w14:textId="6FB86B53" w:rsidR="000412CC" w:rsidRDefault="000412CC" w:rsidP="000412CC">
      <w:pPr>
        <w:spacing w:after="0" w:line="240" w:lineRule="auto"/>
        <w:rPr>
          <w:sz w:val="18"/>
          <w:szCs w:val="18"/>
        </w:rPr>
      </w:pPr>
    </w:p>
    <w:p w14:paraId="10FA4205" w14:textId="38B1C4B1" w:rsidR="000412CC" w:rsidRDefault="000412CC" w:rsidP="00064FF5">
      <w:pPr>
        <w:spacing w:after="0" w:line="240" w:lineRule="auto"/>
        <w:jc w:val="center"/>
        <w:rPr>
          <w:sz w:val="18"/>
          <w:szCs w:val="18"/>
        </w:rPr>
      </w:pPr>
      <w:r>
        <w:rPr>
          <w:noProof/>
          <w:sz w:val="18"/>
          <w:szCs w:val="18"/>
        </w:rPr>
        <w:drawing>
          <wp:inline distT="0" distB="0" distL="0" distR="0" wp14:anchorId="44865990" wp14:editId="2C1682D4">
            <wp:extent cx="4014216" cy="2560320"/>
            <wp:effectExtent l="0" t="0" r="0" b="0"/>
            <wp:docPr id="4" name="Picture 4" descr="C:\Users\Frank\AppData\Local\Microsoft\Windows\INetCache\Content.MSO\2B3A0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ank\AppData\Local\Microsoft\Windows\INetCache\Content.MSO\2B3A0022.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4216" cy="2560320"/>
                    </a:xfrm>
                    <a:prstGeom prst="rect">
                      <a:avLst/>
                    </a:prstGeom>
                    <a:noFill/>
                    <a:ln>
                      <a:noFill/>
                    </a:ln>
                  </pic:spPr>
                </pic:pic>
              </a:graphicData>
            </a:graphic>
          </wp:inline>
        </w:drawing>
      </w:r>
    </w:p>
    <w:p w14:paraId="16D38EAC" w14:textId="017354F8" w:rsidR="000412CC" w:rsidRDefault="000412CC" w:rsidP="000412CC">
      <w:pPr>
        <w:spacing w:after="0" w:line="240" w:lineRule="auto"/>
        <w:rPr>
          <w:sz w:val="18"/>
          <w:szCs w:val="18"/>
        </w:rPr>
      </w:pPr>
      <w:r>
        <w:rPr>
          <w:sz w:val="18"/>
          <w:szCs w:val="18"/>
        </w:rPr>
        <w:tab/>
      </w:r>
      <w:r w:rsidR="00064FF5">
        <w:rPr>
          <w:sz w:val="18"/>
          <w:szCs w:val="18"/>
        </w:rPr>
        <w:tab/>
      </w:r>
      <w:r w:rsidR="00064FF5">
        <w:rPr>
          <w:sz w:val="18"/>
          <w:szCs w:val="18"/>
        </w:rPr>
        <w:tab/>
      </w:r>
      <w:r>
        <w:rPr>
          <w:sz w:val="18"/>
          <w:szCs w:val="18"/>
        </w:rPr>
        <w:t>Density plot for dataframe containing cancer cell gene expression values.</w:t>
      </w:r>
    </w:p>
    <w:p w14:paraId="2BE5C8C6" w14:textId="77777777" w:rsidR="000412CC" w:rsidRPr="000412CC" w:rsidRDefault="000412CC" w:rsidP="000412CC">
      <w:pPr>
        <w:spacing w:after="0" w:line="240" w:lineRule="auto"/>
        <w:rPr>
          <w:sz w:val="24"/>
          <w:szCs w:val="24"/>
        </w:rPr>
      </w:pPr>
    </w:p>
    <w:p w14:paraId="1BF43067" w14:textId="713C177A" w:rsidR="000412CC" w:rsidRDefault="000412CC" w:rsidP="00816A29">
      <w:r>
        <w:t xml:space="preserve">As shown, the data in both dataframes is normally distributed. To confirm that biological differences exist between the two dataframes, scatter plots were generated. The following code was used to create new columns for each dataframe, containing the mean and variance for both </w:t>
      </w:r>
      <w:r w:rsidR="00940E10">
        <w:t>dataframes</w:t>
      </w:r>
      <w:r>
        <w:t>:</w:t>
      </w:r>
    </w:p>
    <w:p w14:paraId="124E8FE6" w14:textId="2D641B1E" w:rsidR="000412CC" w:rsidRDefault="000412CC" w:rsidP="00816A29">
      <w:r>
        <w:rPr>
          <w:noProof/>
        </w:rPr>
        <w:drawing>
          <wp:inline distT="0" distB="0" distL="0" distR="0" wp14:anchorId="50B836EB" wp14:editId="0F1E2B75">
            <wp:extent cx="5937250" cy="13995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1399540"/>
                    </a:xfrm>
                    <a:prstGeom prst="rect">
                      <a:avLst/>
                    </a:prstGeom>
                    <a:noFill/>
                    <a:ln>
                      <a:noFill/>
                    </a:ln>
                  </pic:spPr>
                </pic:pic>
              </a:graphicData>
            </a:graphic>
          </wp:inline>
        </w:drawing>
      </w:r>
    </w:p>
    <w:p w14:paraId="74711514" w14:textId="295D88C6" w:rsidR="00D869B8" w:rsidRDefault="00D869B8" w:rsidP="00816A29">
      <w:r>
        <w:t>Scatter plots:</w:t>
      </w:r>
    </w:p>
    <w:p w14:paraId="69EECC8F" w14:textId="5703B6B2" w:rsidR="000412CC" w:rsidRDefault="00940E10" w:rsidP="00064FF5">
      <w:r>
        <w:t>The first scatter plot plots the mean against the variance of the entire dataset. The second scatter plot uses the data</w:t>
      </w:r>
      <w:r w:rsidR="00E22C93">
        <w:t xml:space="preserve"> separated by category</w:t>
      </w:r>
      <w:r>
        <w:t xml:space="preserve"> and plots the mean expression levels for normal cells against mean expression levels for cancer cells. Although the data has been normalized, we still look for points with </w:t>
      </w:r>
      <w:r w:rsidR="00E22C93">
        <w:t>enough</w:t>
      </w:r>
      <w:r>
        <w:t xml:space="preserve"> </w:t>
      </w:r>
      <w:r w:rsidR="00A803A2">
        <w:t>deviation</w:t>
      </w:r>
      <w:r>
        <w:t xml:space="preserve"> </w:t>
      </w:r>
      <w:r w:rsidR="00E22C93">
        <w:t xml:space="preserve">between categories or between mean and variance. </w:t>
      </w:r>
      <w:r w:rsidR="007C1046">
        <w:rPr>
          <w:noProof/>
        </w:rPr>
        <w:drawing>
          <wp:inline distT="0" distB="0" distL="0" distR="0" wp14:anchorId="0DE14476" wp14:editId="69917ABD">
            <wp:extent cx="4700016" cy="1920240"/>
            <wp:effectExtent l="0" t="0" r="5715" b="0"/>
            <wp:docPr id="10" name="Picture 10" descr="C:\Users\Frank\AppData\Local\Microsoft\Windows\INetCache\Content.MSO\962A2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rank\AppData\Local\Microsoft\Windows\INetCache\Content.MSO\962A23F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0016" cy="1920240"/>
                    </a:xfrm>
                    <a:prstGeom prst="rect">
                      <a:avLst/>
                    </a:prstGeom>
                    <a:noFill/>
                    <a:ln>
                      <a:noFill/>
                    </a:ln>
                  </pic:spPr>
                </pic:pic>
              </a:graphicData>
            </a:graphic>
          </wp:inline>
        </w:drawing>
      </w:r>
    </w:p>
    <w:p w14:paraId="587BA1BA" w14:textId="189E61D1" w:rsidR="000412CC" w:rsidRDefault="000412CC" w:rsidP="00816A29">
      <w:r>
        <w:rPr>
          <w:noProof/>
        </w:rPr>
        <w:lastRenderedPageBreak/>
        <w:drawing>
          <wp:inline distT="0" distB="0" distL="0" distR="0" wp14:anchorId="2024F235" wp14:editId="025A3044">
            <wp:extent cx="5194300" cy="3430270"/>
            <wp:effectExtent l="0" t="0" r="0" b="0"/>
            <wp:docPr id="7" name="Picture 7" descr="C:\Users\Frank\AppData\Local\Microsoft\Windows\INetCache\Content.MSO\C7AF89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ank\AppData\Local\Microsoft\Windows\INetCache\Content.MSO\C7AF89CC.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3430270"/>
                    </a:xfrm>
                    <a:prstGeom prst="rect">
                      <a:avLst/>
                    </a:prstGeom>
                    <a:noFill/>
                    <a:ln>
                      <a:noFill/>
                    </a:ln>
                  </pic:spPr>
                </pic:pic>
              </a:graphicData>
            </a:graphic>
          </wp:inline>
        </w:drawing>
      </w:r>
    </w:p>
    <w:p w14:paraId="0F1B4939" w14:textId="7E9098B4" w:rsidR="000412CC" w:rsidRDefault="000412CC" w:rsidP="00816A29">
      <w:r>
        <w:t>We see genes with significant differences in mean expression levels</w:t>
      </w:r>
      <w:r w:rsidR="00E22C93">
        <w:t xml:space="preserve"> and between mean expression levels and variance</w:t>
      </w:r>
      <w:r>
        <w:t>, suggesting that true biological differences exist between the cancer and normal gene expression dataframes.</w:t>
      </w:r>
      <w:r w:rsidR="00D869B8">
        <w:t xml:space="preserve"> </w:t>
      </w:r>
    </w:p>
    <w:p w14:paraId="16EADF8E" w14:textId="1D246C7D" w:rsidR="0026123B" w:rsidRDefault="000412CC" w:rsidP="00816A29">
      <w:pPr>
        <w:rPr>
          <w:u w:val="single"/>
        </w:rPr>
      </w:pPr>
      <w:r>
        <w:rPr>
          <w:b/>
        </w:rPr>
        <w:t xml:space="preserve">Differential expression analysis: </w:t>
      </w:r>
      <w:r w:rsidR="00EB674B">
        <w:t>for this analysis, the t-statistic method was used. However, other methods are available, such as the Empirical Bayesian method.</w:t>
      </w:r>
    </w:p>
    <w:p w14:paraId="02E32503" w14:textId="5A91655F" w:rsidR="00AA36ED" w:rsidRDefault="00EB674B" w:rsidP="00816A29">
      <w:r>
        <w:rPr>
          <w:u w:val="single"/>
        </w:rPr>
        <w:t>T-statistic method</w:t>
      </w:r>
      <w:r>
        <w:t xml:space="preserve">: </w:t>
      </w:r>
    </w:p>
    <w:p w14:paraId="0743677B" w14:textId="77777777" w:rsidR="00064FF5" w:rsidRDefault="00064FF5" w:rsidP="00064FF5">
      <w:pPr>
        <w:spacing w:after="0" w:line="240" w:lineRule="auto"/>
        <w:jc w:val="center"/>
        <w:rPr>
          <w:sz w:val="18"/>
          <w:szCs w:val="18"/>
        </w:rPr>
      </w:pPr>
      <w:r>
        <w:rPr>
          <w:noProof/>
          <w:sz w:val="18"/>
          <w:szCs w:val="18"/>
        </w:rPr>
        <w:drawing>
          <wp:inline distT="0" distB="0" distL="0" distR="0" wp14:anchorId="10FBCE81" wp14:editId="3FE5970D">
            <wp:extent cx="1600200" cy="29169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0200" cy="2916936"/>
                    </a:xfrm>
                    <a:prstGeom prst="rect">
                      <a:avLst/>
                    </a:prstGeom>
                    <a:noFill/>
                    <a:ln>
                      <a:noFill/>
                    </a:ln>
                  </pic:spPr>
                </pic:pic>
              </a:graphicData>
            </a:graphic>
          </wp:inline>
        </w:drawing>
      </w:r>
    </w:p>
    <w:p w14:paraId="6415602A" w14:textId="77777777" w:rsidR="00064FF5" w:rsidRDefault="00DC5EDB" w:rsidP="00064FF5">
      <w:pPr>
        <w:spacing w:after="0" w:line="240" w:lineRule="auto"/>
        <w:jc w:val="center"/>
        <w:rPr>
          <w:sz w:val="18"/>
          <w:szCs w:val="18"/>
        </w:rPr>
      </w:pPr>
      <w:r>
        <w:rPr>
          <w:sz w:val="18"/>
          <w:szCs w:val="18"/>
        </w:rPr>
        <w:t>The above</w:t>
      </w:r>
      <w:r w:rsidR="007C1046">
        <w:rPr>
          <w:sz w:val="18"/>
          <w:szCs w:val="18"/>
        </w:rPr>
        <w:t xml:space="preserve"> image shows the standard t-test</w:t>
      </w:r>
      <w:r w:rsidR="00D869B8">
        <w:rPr>
          <w:sz w:val="18"/>
          <w:szCs w:val="18"/>
        </w:rPr>
        <w:t xml:space="preserve"> as applied</w:t>
      </w:r>
    </w:p>
    <w:p w14:paraId="719D4A85" w14:textId="752D40A1" w:rsidR="007C1046" w:rsidRPr="0026123B" w:rsidRDefault="00D869B8" w:rsidP="00064FF5">
      <w:pPr>
        <w:spacing w:after="0" w:line="240" w:lineRule="auto"/>
        <w:jc w:val="center"/>
      </w:pPr>
      <w:r>
        <w:rPr>
          <w:sz w:val="18"/>
          <w:szCs w:val="18"/>
        </w:rPr>
        <w:t>to differential expression analysis</w:t>
      </w:r>
      <w:r w:rsidR="007C1046">
        <w:rPr>
          <w:sz w:val="18"/>
          <w:szCs w:val="18"/>
        </w:rPr>
        <w:t>.</w:t>
      </w:r>
      <w:r w:rsidR="007C1046">
        <w:rPr>
          <w:rStyle w:val="EndnoteReference"/>
          <w:sz w:val="18"/>
          <w:szCs w:val="18"/>
        </w:rPr>
        <w:endnoteReference w:id="4"/>
      </w:r>
    </w:p>
    <w:p w14:paraId="47F3AB33" w14:textId="2383B0AB" w:rsidR="000412CC" w:rsidRPr="000412CC" w:rsidRDefault="00EB674B" w:rsidP="00816A29">
      <w:r>
        <w:lastRenderedPageBreak/>
        <w:t xml:space="preserve"> </w:t>
      </w:r>
    </w:p>
    <w:p w14:paraId="0E433F87" w14:textId="1962C6C3" w:rsidR="002E37DC" w:rsidRDefault="00AA36ED">
      <w:r>
        <w:t xml:space="preserve">The t-test is a simple statistical method for detecting differentially expressed genes. It is particularly useful when comparing two conditions (e.g. cancer cells vs normal cells). The error variance (the square of which appears in the denominator of the t-test formula) is hard to estimate when the number of samples is small; however, </w:t>
      </w:r>
      <w:r w:rsidR="007C1046">
        <w:t xml:space="preserve">the dataset used in this analysis contains </w:t>
      </w:r>
      <w:r w:rsidR="00D869B8">
        <w:t>many</w:t>
      </w:r>
      <w:r w:rsidR="007C1046">
        <w:t xml:space="preserve"> replicate</w:t>
      </w:r>
      <w:r w:rsidR="00D869B8">
        <w:t>s, and the data has been normalized</w:t>
      </w:r>
      <w:r w:rsidR="007C1046">
        <w:t xml:space="preserve">. </w:t>
      </w:r>
      <w:r w:rsidR="00D869B8">
        <w:t>Therefore, application of the t-test method is appropriate in this case.</w:t>
      </w:r>
    </w:p>
    <w:p w14:paraId="212D07C6" w14:textId="1586F616" w:rsidR="00D869B8" w:rsidRDefault="00D869B8">
      <w:r>
        <w:t xml:space="preserve">Another popular method is the </w:t>
      </w:r>
      <w:r w:rsidR="00DC5EDB">
        <w:t>empirical Bayes model for differential expression analysis. The advantage of this test is it can work with smaller sample sizes</w:t>
      </w:r>
      <w:r w:rsidR="00EF02D0">
        <w:t>,</w:t>
      </w:r>
      <w:r w:rsidR="00DC5EDB">
        <w:t xml:space="preserve"> non-parametric models are available</w:t>
      </w:r>
      <w:r w:rsidR="00EF02D0">
        <w:t xml:space="preserve">, and it allows for false discovery rate control. </w:t>
      </w:r>
    </w:p>
    <w:p w14:paraId="5B0D58FC" w14:textId="12AA9115" w:rsidR="00DC5EDB" w:rsidRDefault="00DC5EDB" w:rsidP="00DC5EDB">
      <w:pPr>
        <w:spacing w:after="0" w:line="240" w:lineRule="auto"/>
        <w:jc w:val="center"/>
      </w:pPr>
      <w:r>
        <w:rPr>
          <w:noProof/>
        </w:rPr>
        <w:drawing>
          <wp:inline distT="0" distB="0" distL="0" distR="0" wp14:anchorId="4D9C8E4D" wp14:editId="1566DB4A">
            <wp:extent cx="4590288" cy="4133088"/>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0288" cy="4133088"/>
                    </a:xfrm>
                    <a:prstGeom prst="rect">
                      <a:avLst/>
                    </a:prstGeom>
                    <a:noFill/>
                    <a:ln>
                      <a:noFill/>
                    </a:ln>
                  </pic:spPr>
                </pic:pic>
              </a:graphicData>
            </a:graphic>
          </wp:inline>
        </w:drawing>
      </w:r>
    </w:p>
    <w:p w14:paraId="348C844F" w14:textId="10E9B07F" w:rsidR="00DC5EDB" w:rsidRDefault="00DC5EDB" w:rsidP="00DC5EDB">
      <w:pPr>
        <w:spacing w:after="0" w:line="240" w:lineRule="auto"/>
        <w:rPr>
          <w:sz w:val="18"/>
          <w:szCs w:val="18"/>
        </w:rPr>
      </w:pPr>
      <w:r>
        <w:rPr>
          <w:sz w:val="18"/>
          <w:szCs w:val="18"/>
        </w:rPr>
        <w:tab/>
      </w:r>
      <w:r>
        <w:rPr>
          <w:sz w:val="18"/>
          <w:szCs w:val="18"/>
        </w:rPr>
        <w:tab/>
        <w:t>The above image outlines the empirical Bayes method for differential expression analysis.</w:t>
      </w:r>
      <w:r>
        <w:rPr>
          <w:rStyle w:val="EndnoteReference"/>
          <w:sz w:val="18"/>
          <w:szCs w:val="18"/>
        </w:rPr>
        <w:endnoteReference w:id="5"/>
      </w:r>
    </w:p>
    <w:p w14:paraId="7024B400" w14:textId="4B1A6939" w:rsidR="00FB7778" w:rsidRDefault="00FB7778" w:rsidP="00DC5EDB">
      <w:pPr>
        <w:spacing w:after="0" w:line="240" w:lineRule="auto"/>
        <w:rPr>
          <w:sz w:val="18"/>
          <w:szCs w:val="18"/>
        </w:rPr>
      </w:pPr>
    </w:p>
    <w:p w14:paraId="4F43880C" w14:textId="759B69AE" w:rsidR="00FB7778" w:rsidRDefault="007D3090" w:rsidP="00DC5EDB">
      <w:pPr>
        <w:spacing w:after="0" w:line="240" w:lineRule="auto"/>
        <w:rPr>
          <w:b/>
          <w:sz w:val="18"/>
          <w:szCs w:val="18"/>
        </w:rPr>
      </w:pPr>
      <w:r>
        <w:rPr>
          <w:b/>
          <w:sz w:val="18"/>
          <w:szCs w:val="18"/>
        </w:rPr>
        <w:t>Differential expression analysis:</w:t>
      </w:r>
    </w:p>
    <w:p w14:paraId="6632212F" w14:textId="2C2FF459" w:rsidR="00E22C93" w:rsidRDefault="00E22C93" w:rsidP="00DC5EDB">
      <w:pPr>
        <w:spacing w:after="0" w:line="240" w:lineRule="auto"/>
        <w:rPr>
          <w:b/>
          <w:sz w:val="18"/>
          <w:szCs w:val="18"/>
        </w:rPr>
      </w:pPr>
    </w:p>
    <w:p w14:paraId="46BDBFDE" w14:textId="0EDAC2D6" w:rsidR="00E22C93" w:rsidRPr="00E22C93" w:rsidRDefault="00E22C93" w:rsidP="00DC5EDB">
      <w:pPr>
        <w:spacing w:after="0" w:line="240" w:lineRule="auto"/>
        <w:rPr>
          <w:sz w:val="18"/>
          <w:szCs w:val="18"/>
        </w:rPr>
      </w:pPr>
      <w:r>
        <w:rPr>
          <w:sz w:val="18"/>
          <w:szCs w:val="18"/>
        </w:rPr>
        <w:t xml:space="preserve">For demonstration purposes, we confine our analysis to the top 25 differentially expressed genes. </w:t>
      </w:r>
    </w:p>
    <w:p w14:paraId="5A62C1F2" w14:textId="5CDF8E9D" w:rsidR="008911F6" w:rsidRDefault="008911F6"/>
    <w:p w14:paraId="48223F9D" w14:textId="77777777" w:rsidR="00064FF5" w:rsidRDefault="00064FF5" w:rsidP="00F00267">
      <w:pPr>
        <w:jc w:val="center"/>
        <w:rPr>
          <w:b/>
        </w:rPr>
      </w:pPr>
    </w:p>
    <w:p w14:paraId="47E9929E" w14:textId="77777777" w:rsidR="00064FF5" w:rsidRDefault="00064FF5" w:rsidP="00F00267">
      <w:pPr>
        <w:jc w:val="center"/>
        <w:rPr>
          <w:b/>
        </w:rPr>
      </w:pPr>
    </w:p>
    <w:p w14:paraId="3ADD0873" w14:textId="77777777" w:rsidR="00064FF5" w:rsidRDefault="00064FF5" w:rsidP="00F00267">
      <w:pPr>
        <w:jc w:val="center"/>
        <w:rPr>
          <w:b/>
        </w:rPr>
      </w:pPr>
    </w:p>
    <w:p w14:paraId="4B10A328" w14:textId="77777777" w:rsidR="00064FF5" w:rsidRDefault="00064FF5" w:rsidP="00F00267">
      <w:pPr>
        <w:jc w:val="center"/>
        <w:rPr>
          <w:b/>
        </w:rPr>
      </w:pPr>
    </w:p>
    <w:p w14:paraId="076EFBD3" w14:textId="4C9A0077" w:rsidR="00F00267" w:rsidRDefault="00F00267" w:rsidP="00F00267">
      <w:pPr>
        <w:jc w:val="center"/>
        <w:rPr>
          <w:b/>
        </w:rPr>
      </w:pPr>
      <w:r>
        <w:rPr>
          <w:b/>
        </w:rPr>
        <w:lastRenderedPageBreak/>
        <w:t>The top 25 differentially expressed genes</w:t>
      </w:r>
    </w:p>
    <w:p w14:paraId="63E9C5D9" w14:textId="6022818D" w:rsidR="00F00267" w:rsidRDefault="004878D7" w:rsidP="00F00267">
      <w:pPr>
        <w:jc w:val="center"/>
      </w:pPr>
      <w:r>
        <w:rPr>
          <w:noProof/>
        </w:rPr>
        <w:drawing>
          <wp:inline distT="0" distB="0" distL="0" distR="0" wp14:anchorId="26D0FAAE" wp14:editId="3A2DB3BD">
            <wp:extent cx="4161905" cy="4990476"/>
            <wp:effectExtent l="0" t="0" r="0" b="635"/>
            <wp:docPr id="12" name="Picture 1">
              <a:extLst xmlns:a="http://schemas.openxmlformats.org/drawingml/2006/main">
                <a:ext uri="{FF2B5EF4-FFF2-40B4-BE49-F238E27FC236}">
                  <a16:creationId xmlns:a16="http://schemas.microsoft.com/office/drawing/2014/main" id="{53D2D376-40E4-4F73-A99B-45194F443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3D2D376-40E4-4F73-A99B-45194F44348B}"/>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1905" cy="4990476"/>
                    </a:xfrm>
                    <a:prstGeom prst="rect">
                      <a:avLst/>
                    </a:prstGeom>
                    <a:noFill/>
                    <a:ln>
                      <a:noFill/>
                    </a:ln>
                  </pic:spPr>
                </pic:pic>
              </a:graphicData>
            </a:graphic>
          </wp:inline>
        </w:drawing>
      </w:r>
    </w:p>
    <w:p w14:paraId="085F3050" w14:textId="07396359" w:rsidR="0026123B" w:rsidRDefault="00E22C93" w:rsidP="007D3090">
      <w:pPr>
        <w:rPr>
          <w:b/>
        </w:rPr>
      </w:pPr>
      <w:r>
        <w:t xml:space="preserve">One common challenge in clustering that arises in many analytical contexts is truncating the data enough to generate comprehensible plots. In this case, we’re not interested in the expression of all genes contained in the dataset (after all, we began with over 20,000 genes). We’re interested in understanding the differences between cancer cells and healthy cells. </w:t>
      </w:r>
      <w:r w:rsidR="00C173FA">
        <w:t xml:space="preserve">Therefore, we can limit our analysis to differentially expressed genes, and truncate even further by only focusing on the top differentially expressed genes. Then, we move onto finding correlations (either positive or negative) between our top differentially expressed genes and the rest of the dataset. We might assume that genes with a markedly different expression profile (when comparing cancer to normal cells) is suggestive of gene which are behaving abnormally, possibly due to DNA mutations. However, we’d also like to know which other genes our abnormal genes are influencing. We do this through a correlation analysis. The main benefit of this approach in this case is it allows us to focus machine learning on only genes of biological interest, rather than trying to cluster the entire dataset (which would likely generate an incomprehensible dendrogram, with overlapping and unreadable gene names). </w:t>
      </w:r>
    </w:p>
    <w:p w14:paraId="47BF1049" w14:textId="77777777" w:rsidR="0026123B" w:rsidRDefault="0026123B" w:rsidP="007D3090">
      <w:pPr>
        <w:rPr>
          <w:b/>
        </w:rPr>
      </w:pPr>
    </w:p>
    <w:p w14:paraId="35B2B88B" w14:textId="62E80AE3" w:rsidR="00021376" w:rsidRDefault="00F337BA" w:rsidP="007D3090">
      <w:bookmarkStart w:id="0" w:name="_GoBack"/>
      <w:bookmarkEnd w:id="0"/>
      <w:r>
        <w:rPr>
          <w:b/>
        </w:rPr>
        <w:lastRenderedPageBreak/>
        <w:t>Correlation analysis:</w:t>
      </w:r>
    </w:p>
    <w:p w14:paraId="58CD48FE" w14:textId="3C6AA994" w:rsidR="00021376" w:rsidRDefault="00021376" w:rsidP="007D3090">
      <w:r>
        <w:rPr>
          <w:noProof/>
        </w:rPr>
        <w:drawing>
          <wp:inline distT="0" distB="0" distL="0" distR="0" wp14:anchorId="33ADA003" wp14:editId="6B5D9191">
            <wp:extent cx="5387975" cy="3975100"/>
            <wp:effectExtent l="0" t="0" r="0" b="0"/>
            <wp:docPr id="15" name="Picture 15" descr="C:\Users\Frank\AppData\Local\Microsoft\Windows\INetCache\Content.MSO\3555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rank\AppData\Local\Microsoft\Windows\INetCache\Content.MSO\3555E7B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7975" cy="3975100"/>
                    </a:xfrm>
                    <a:prstGeom prst="rect">
                      <a:avLst/>
                    </a:prstGeom>
                    <a:noFill/>
                    <a:ln>
                      <a:noFill/>
                    </a:ln>
                  </pic:spPr>
                </pic:pic>
              </a:graphicData>
            </a:graphic>
          </wp:inline>
        </w:drawing>
      </w:r>
    </w:p>
    <w:p w14:paraId="62F86B8E" w14:textId="6CEE6F05" w:rsidR="00021376" w:rsidRDefault="00021376" w:rsidP="007D3090"/>
    <w:p w14:paraId="1225F5A6" w14:textId="799637C8" w:rsidR="00021376" w:rsidRDefault="00021376" w:rsidP="007D3090">
      <w:r>
        <w:rPr>
          <w:noProof/>
        </w:rPr>
        <w:lastRenderedPageBreak/>
        <w:drawing>
          <wp:inline distT="0" distB="0" distL="0" distR="0" wp14:anchorId="1ADF0882" wp14:editId="02882C66">
            <wp:extent cx="5387975" cy="3975100"/>
            <wp:effectExtent l="0" t="0" r="0" b="0"/>
            <wp:docPr id="16" name="Picture 16" descr="C:\Users\Frank\AppData\Local\Microsoft\Windows\INetCache\Content.MSO\D8A7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rank\AppData\Local\Microsoft\Windows\INetCache\Content.MSO\D8A7AA7C.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975" cy="3975100"/>
                    </a:xfrm>
                    <a:prstGeom prst="rect">
                      <a:avLst/>
                    </a:prstGeom>
                    <a:noFill/>
                    <a:ln>
                      <a:noFill/>
                    </a:ln>
                  </pic:spPr>
                </pic:pic>
              </a:graphicData>
            </a:graphic>
          </wp:inline>
        </w:drawing>
      </w:r>
    </w:p>
    <w:p w14:paraId="12E6E3E7" w14:textId="3EC1CC4A" w:rsidR="00334E38" w:rsidRDefault="00334E38" w:rsidP="007D3090"/>
    <w:p w14:paraId="2BC715A4" w14:textId="77777777" w:rsidR="00334E38" w:rsidRDefault="00334E38" w:rsidP="007D3090"/>
    <w:p w14:paraId="11D6FAD1" w14:textId="36B2A52F" w:rsidR="00021376" w:rsidRDefault="00021376" w:rsidP="007D3090"/>
    <w:p w14:paraId="7E77D144" w14:textId="56CEEEB2" w:rsidR="00021376" w:rsidRPr="00F00267" w:rsidRDefault="00021376" w:rsidP="007D3090">
      <w:r>
        <w:rPr>
          <w:noProof/>
        </w:rPr>
        <w:lastRenderedPageBreak/>
        <w:drawing>
          <wp:inline distT="0" distB="0" distL="0" distR="0" wp14:anchorId="75FC0E5E" wp14:editId="64DAB70A">
            <wp:extent cx="5943600" cy="5928755"/>
            <wp:effectExtent l="0" t="0" r="0" b="0"/>
            <wp:docPr id="17" name="Picture 17" descr="C:\Users\Frank\AppData\Local\Microsoft\Windows\INetCache\Content.MSO\B72D81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rank\AppData\Local\Microsoft\Windows\INetCache\Content.MSO\B72D81EA.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28755"/>
                    </a:xfrm>
                    <a:prstGeom prst="rect">
                      <a:avLst/>
                    </a:prstGeom>
                    <a:noFill/>
                    <a:ln>
                      <a:noFill/>
                    </a:ln>
                  </pic:spPr>
                </pic:pic>
              </a:graphicData>
            </a:graphic>
          </wp:inline>
        </w:drawing>
      </w:r>
    </w:p>
    <w:p w14:paraId="3A9F390B" w14:textId="77777777" w:rsidR="0026123B" w:rsidRDefault="00021376" w:rsidP="0026123B">
      <w:r>
        <w:rPr>
          <w:noProof/>
        </w:rPr>
        <w:lastRenderedPageBreak/>
        <w:drawing>
          <wp:inline distT="0" distB="0" distL="0" distR="0" wp14:anchorId="60ADCA4B" wp14:editId="25EC9BFC">
            <wp:extent cx="5943600" cy="5928755"/>
            <wp:effectExtent l="0" t="0" r="0" b="0"/>
            <wp:docPr id="18" name="Picture 18" descr="C:\Users\Frank\AppData\Local\Microsoft\Windows\INetCache\Content.MSO\B90441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AppData\Local\Microsoft\Windows\INetCache\Content.MSO\B9044188.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28755"/>
                    </a:xfrm>
                    <a:prstGeom prst="rect">
                      <a:avLst/>
                    </a:prstGeom>
                    <a:noFill/>
                    <a:ln>
                      <a:noFill/>
                    </a:ln>
                  </pic:spPr>
                </pic:pic>
              </a:graphicData>
            </a:graphic>
          </wp:inline>
        </w:drawing>
      </w:r>
    </w:p>
    <w:p w14:paraId="454D5E02" w14:textId="131C34B6" w:rsidR="00E03606" w:rsidRDefault="00772522" w:rsidP="0026123B">
      <w:r w:rsidRPr="0026123B">
        <w:t xml:space="preserve">We notice </w:t>
      </w:r>
      <w:r w:rsidR="0026123B" w:rsidRPr="0026123B">
        <w:t>many</w:t>
      </w:r>
      <w:r w:rsidRPr="0026123B">
        <w:t xml:space="preserve"> negatively correlated genes in the cancer expression dataframe</w:t>
      </w:r>
      <w:r w:rsidR="0026123B">
        <w:t xml:space="preserve">. </w:t>
      </w:r>
      <w:r w:rsidRPr="0026123B">
        <w:t xml:space="preserve">Conversely, we see </w:t>
      </w:r>
      <w:r w:rsidR="0026123B" w:rsidRPr="0026123B">
        <w:t>many</w:t>
      </w:r>
      <w:r w:rsidRPr="0026123B">
        <w:t xml:space="preserve"> positively correlated genes in the normal cell expression dataframe</w:t>
      </w:r>
      <w:r w:rsidR="0026123B">
        <w:t xml:space="preserve">. </w:t>
      </w:r>
      <w:r w:rsidRPr="0026123B">
        <w:t>This is not surprising, since oncogenes produce deleterious proteins which often inhibit important cellular functions such as cell cycle control and apoptosis</w:t>
      </w:r>
      <w:r w:rsidR="0026123B">
        <w:t xml:space="preserve">. </w:t>
      </w:r>
      <w:r w:rsidRPr="0026123B">
        <w:t>Pairs plots were also generated to further demonstrate the trends which appear in the heatmaps</w:t>
      </w:r>
      <w:r w:rsidR="0026123B">
        <w:t>.</w:t>
      </w:r>
    </w:p>
    <w:p w14:paraId="3C1EF831" w14:textId="35BE5229" w:rsidR="00C227D9" w:rsidRDefault="00C227D9" w:rsidP="0026123B">
      <w:r>
        <w:t>Next, the top correlated genes were processed for hierarchical clustering</w:t>
      </w:r>
      <w:r w:rsidR="00C173FA">
        <w:t>:</w:t>
      </w:r>
    </w:p>
    <w:p w14:paraId="23BEDCDD" w14:textId="5CFE13FE" w:rsidR="00C173FA" w:rsidRPr="00C173FA" w:rsidRDefault="00C227D9" w:rsidP="0026123B">
      <w:r>
        <w:rPr>
          <w:noProof/>
        </w:rPr>
        <w:lastRenderedPageBreak/>
        <w:drawing>
          <wp:inline distT="0" distB="0" distL="0" distR="0" wp14:anchorId="4FD4C1BE" wp14:editId="6D522A0F">
            <wp:extent cx="5937250" cy="256730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567305"/>
                    </a:xfrm>
                    <a:prstGeom prst="rect">
                      <a:avLst/>
                    </a:prstGeom>
                    <a:noFill/>
                    <a:ln>
                      <a:noFill/>
                    </a:ln>
                  </pic:spPr>
                </pic:pic>
              </a:graphicData>
            </a:graphic>
          </wp:inline>
        </w:drawing>
      </w:r>
    </w:p>
    <w:p w14:paraId="1034F7F2" w14:textId="6162BB78" w:rsidR="0026123B" w:rsidRDefault="0026123B" w:rsidP="0026123B">
      <w:pPr>
        <w:rPr>
          <w:b/>
        </w:rPr>
      </w:pPr>
      <w:r>
        <w:rPr>
          <w:b/>
        </w:rPr>
        <w:t>Unsupervised learning:</w:t>
      </w:r>
    </w:p>
    <w:p w14:paraId="7B9BAB6E" w14:textId="48C7AB50" w:rsidR="0026123B" w:rsidRDefault="0026123B" w:rsidP="0026123B">
      <w:r>
        <w:rPr>
          <w:noProof/>
        </w:rPr>
        <w:drawing>
          <wp:inline distT="0" distB="0" distL="0" distR="0" wp14:anchorId="412DB705" wp14:editId="1791A084">
            <wp:extent cx="5943600" cy="2617225"/>
            <wp:effectExtent l="0" t="0" r="0" b="0"/>
            <wp:docPr id="19" name="Picture 19" descr="C:\Users\Frank\AppData\Local\Microsoft\Windows\INetCache\Content.MSO\39358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rank\AppData\Local\Microsoft\Windows\INetCache\Content.MSO\393588D6.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17225"/>
                    </a:xfrm>
                    <a:prstGeom prst="rect">
                      <a:avLst/>
                    </a:prstGeom>
                    <a:noFill/>
                    <a:ln>
                      <a:noFill/>
                    </a:ln>
                  </pic:spPr>
                </pic:pic>
              </a:graphicData>
            </a:graphic>
          </wp:inline>
        </w:drawing>
      </w:r>
    </w:p>
    <w:p w14:paraId="2F040138" w14:textId="39C712C3" w:rsidR="0026123B" w:rsidRPr="0026123B" w:rsidRDefault="0026123B" w:rsidP="0026123B">
      <w:r>
        <w:rPr>
          <w:noProof/>
        </w:rPr>
        <w:lastRenderedPageBreak/>
        <w:drawing>
          <wp:inline distT="0" distB="0" distL="0" distR="0" wp14:anchorId="223DC9A6" wp14:editId="6918F861">
            <wp:extent cx="5943600" cy="2618406"/>
            <wp:effectExtent l="0" t="0" r="0" b="0"/>
            <wp:docPr id="20" name="Picture 20" descr="C:\Users\Frank\AppData\Local\Microsoft\Windows\INetCache\Content.MSO\2A6DA3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rank\AppData\Local\Microsoft\Windows\INetCache\Content.MSO\2A6DA354.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18406"/>
                    </a:xfrm>
                    <a:prstGeom prst="rect">
                      <a:avLst/>
                    </a:prstGeom>
                    <a:noFill/>
                    <a:ln>
                      <a:noFill/>
                    </a:ln>
                  </pic:spPr>
                </pic:pic>
              </a:graphicData>
            </a:graphic>
          </wp:inline>
        </w:drawing>
      </w:r>
    </w:p>
    <w:p w14:paraId="31275C4C" w14:textId="77777777" w:rsidR="00C173FA" w:rsidRPr="00C173FA" w:rsidRDefault="00C173FA" w:rsidP="00C173FA">
      <w:pPr>
        <w:shd w:val="clear" w:color="auto" w:fill="FFFFFF"/>
        <w:spacing w:before="153" w:after="0" w:line="240" w:lineRule="auto"/>
        <w:outlineLvl w:val="1"/>
        <w:rPr>
          <w:rFonts w:eastAsia="Times New Roman" w:cstheme="minorHAnsi"/>
          <w:b/>
          <w:bCs/>
          <w:color w:val="000000"/>
        </w:rPr>
      </w:pPr>
      <w:r w:rsidRPr="00C173FA">
        <w:rPr>
          <w:rFonts w:eastAsia="Times New Roman" w:cstheme="minorHAnsi"/>
          <w:b/>
          <w:bCs/>
          <w:color w:val="000000"/>
        </w:rPr>
        <w:t>Let's analyze the green clusters from both dendrograms:</w:t>
      </w:r>
    </w:p>
    <w:p w14:paraId="4E0C8BB4" w14:textId="3231191A" w:rsidR="00C173FA" w:rsidRDefault="00C173FA" w:rsidP="00C173FA">
      <w:pPr>
        <w:numPr>
          <w:ilvl w:val="0"/>
          <w:numId w:val="8"/>
        </w:numPr>
        <w:shd w:val="clear" w:color="auto" w:fill="FFFFFF"/>
        <w:spacing w:before="100" w:beforeAutospacing="1" w:after="100" w:afterAutospacing="1" w:line="240" w:lineRule="auto"/>
        <w:rPr>
          <w:rFonts w:eastAsia="Times New Roman" w:cstheme="minorHAnsi"/>
          <w:color w:val="000000"/>
        </w:rPr>
      </w:pPr>
      <w:r w:rsidRPr="00C173FA">
        <w:rPr>
          <w:rFonts w:eastAsia="Times New Roman" w:cstheme="minorHAnsi"/>
          <w:color w:val="000000"/>
        </w:rPr>
        <w:t>The only gene that does not appear in our list of top differentially expressed genes is ANGPTL4 (in the cancer set)</w:t>
      </w:r>
      <w:r w:rsidR="001F555E">
        <w:rPr>
          <w:rFonts w:eastAsia="Times New Roman" w:cstheme="minorHAnsi"/>
          <w:color w:val="000000"/>
        </w:rPr>
        <w:t>.</w:t>
      </w:r>
    </w:p>
    <w:p w14:paraId="2B7241DC" w14:textId="209CD9FB" w:rsidR="00C173FA" w:rsidRDefault="001F555E" w:rsidP="00C173FA">
      <w:pPr>
        <w:numPr>
          <w:ilvl w:val="0"/>
          <w:numId w:val="8"/>
        </w:numPr>
        <w:shd w:val="clear" w:color="auto" w:fill="FFFFFF"/>
        <w:spacing w:before="100" w:beforeAutospacing="1" w:after="100" w:afterAutospacing="1" w:line="240" w:lineRule="auto"/>
        <w:rPr>
          <w:rFonts w:eastAsia="Times New Roman" w:cstheme="minorHAnsi"/>
          <w:color w:val="000000"/>
        </w:rPr>
      </w:pPr>
      <w:r>
        <w:rPr>
          <w:rFonts w:eastAsia="Times New Roman" w:cstheme="minorHAnsi"/>
          <w:color w:val="000000"/>
        </w:rPr>
        <w:t xml:space="preserve">Moreover, </w:t>
      </w:r>
      <w:r w:rsidRPr="00C173FA">
        <w:rPr>
          <w:rFonts w:eastAsia="Times New Roman" w:cstheme="minorHAnsi"/>
          <w:color w:val="000000"/>
        </w:rPr>
        <w:t>ANGPTL4</w:t>
      </w:r>
      <w:r>
        <w:rPr>
          <w:rFonts w:eastAsia="Times New Roman" w:cstheme="minorHAnsi"/>
          <w:color w:val="000000"/>
        </w:rPr>
        <w:t xml:space="preserve"> does not appear in our correlation heatmaps. </w:t>
      </w:r>
    </w:p>
    <w:p w14:paraId="3C633C5D" w14:textId="19CB2276" w:rsidR="001F555E" w:rsidRPr="00C173FA" w:rsidRDefault="001F555E" w:rsidP="00C173FA">
      <w:pPr>
        <w:numPr>
          <w:ilvl w:val="0"/>
          <w:numId w:val="8"/>
        </w:numPr>
        <w:shd w:val="clear" w:color="auto" w:fill="FFFFFF"/>
        <w:spacing w:before="100" w:beforeAutospacing="1" w:after="100" w:afterAutospacing="1" w:line="240" w:lineRule="auto"/>
        <w:rPr>
          <w:rFonts w:eastAsia="Times New Roman" w:cstheme="minorHAnsi"/>
          <w:color w:val="000000"/>
        </w:rPr>
      </w:pPr>
      <w:r>
        <w:rPr>
          <w:rFonts w:eastAsia="Times New Roman" w:cstheme="minorHAnsi"/>
          <w:color w:val="000000"/>
        </w:rPr>
        <w:t xml:space="preserve">The fact that it clustered with differentially expressed genes and genes highly correlated with differentially expressed genes suggests that </w:t>
      </w:r>
      <w:r w:rsidRPr="00C173FA">
        <w:rPr>
          <w:rFonts w:eastAsia="Times New Roman" w:cstheme="minorHAnsi"/>
          <w:color w:val="000000"/>
        </w:rPr>
        <w:t>ANGPTL4</w:t>
      </w:r>
      <w:r>
        <w:rPr>
          <w:rFonts w:eastAsia="Times New Roman" w:cstheme="minorHAnsi"/>
          <w:color w:val="000000"/>
        </w:rPr>
        <w:t xml:space="preserve"> may be active in the same cell signal pathways that some of our differentially expressed/correlated genes function in. </w:t>
      </w:r>
    </w:p>
    <w:p w14:paraId="4F62DC1F" w14:textId="7A76182D" w:rsidR="00C173FA" w:rsidRDefault="001F555E" w:rsidP="004376AE">
      <w:pPr>
        <w:numPr>
          <w:ilvl w:val="0"/>
          <w:numId w:val="8"/>
        </w:numPr>
        <w:shd w:val="clear" w:color="auto" w:fill="FFFFFF"/>
        <w:spacing w:before="100" w:beforeAutospacing="1" w:after="100" w:afterAutospacing="1" w:line="240" w:lineRule="auto"/>
      </w:pPr>
      <w:r w:rsidRPr="001F555E">
        <w:rPr>
          <w:rFonts w:eastAsia="Times New Roman" w:cstheme="minorHAnsi"/>
          <w:color w:val="000000"/>
        </w:rPr>
        <w:t xml:space="preserve">At this point, we have a robust </w:t>
      </w:r>
      <w:r>
        <w:rPr>
          <w:rFonts w:eastAsia="Times New Roman" w:cstheme="minorHAnsi"/>
          <w:color w:val="000000"/>
        </w:rPr>
        <w:t>cohort</w:t>
      </w:r>
      <w:r w:rsidRPr="001F555E">
        <w:rPr>
          <w:rFonts w:eastAsia="Times New Roman" w:cstheme="minorHAnsi"/>
          <w:color w:val="000000"/>
        </w:rPr>
        <w:t xml:space="preserve"> of interesting candidate genes we can select for further analysis. We (somewhat arbitrarily) select </w:t>
      </w:r>
      <w:r w:rsidRPr="00C173FA">
        <w:rPr>
          <w:rFonts w:eastAsia="Times New Roman" w:cstheme="minorHAnsi"/>
          <w:color w:val="000000"/>
        </w:rPr>
        <w:t>ANGPTL4</w:t>
      </w:r>
      <w:r w:rsidRPr="001F555E">
        <w:rPr>
          <w:rFonts w:eastAsia="Times New Roman" w:cstheme="minorHAnsi"/>
          <w:color w:val="000000"/>
        </w:rPr>
        <w:t xml:space="preserve"> for further analysis. </w:t>
      </w:r>
    </w:p>
    <w:p w14:paraId="5913868F" w14:textId="4E4C8EF6" w:rsidR="00E03606" w:rsidRDefault="000A66EE" w:rsidP="0026123B">
      <w:r>
        <w:t>ANGPTL4, or angiopoietin like 4, encodes a glycosylated, secreted protein that regulates glucose homeostasis, lipid metabolism, and insulin sensitivity.</w:t>
      </w:r>
      <w:r>
        <w:rPr>
          <w:rStyle w:val="EndnoteReference"/>
        </w:rPr>
        <w:endnoteReference w:id="6"/>
      </w:r>
      <w:r>
        <w:t xml:space="preserve"> It has been implicated in both promoting and inhibiting tumorigenesis.</w:t>
      </w:r>
      <w:r>
        <w:rPr>
          <w:rStyle w:val="EndnoteReference"/>
        </w:rPr>
        <w:endnoteReference w:id="7"/>
      </w:r>
    </w:p>
    <w:p w14:paraId="791A6FBF" w14:textId="77777777" w:rsidR="000A66EE" w:rsidRPr="0026123B" w:rsidRDefault="000A66EE" w:rsidP="0026123B"/>
    <w:p w14:paraId="4FBF87A3" w14:textId="56216DE7" w:rsidR="00E03606" w:rsidRPr="0026123B" w:rsidRDefault="00E03606" w:rsidP="0026123B"/>
    <w:p w14:paraId="5E73AFD0" w14:textId="10CB5DA6" w:rsidR="00E03606" w:rsidRDefault="0026123B" w:rsidP="0026123B">
      <w:pPr>
        <w:spacing w:after="0" w:line="240" w:lineRule="auto"/>
        <w:jc w:val="center"/>
        <w:rPr>
          <w:sz w:val="18"/>
          <w:szCs w:val="18"/>
        </w:rPr>
      </w:pPr>
      <w:r>
        <w:rPr>
          <w:noProof/>
        </w:rPr>
        <w:drawing>
          <wp:inline distT="0" distB="0" distL="0" distR="0" wp14:anchorId="7A4D607C" wp14:editId="32CFEBC5">
            <wp:extent cx="2906395" cy="1570990"/>
            <wp:effectExtent l="0" t="0" r="8255" b="0"/>
            <wp:docPr id="21" name="Picture 21" descr="C:\Users\Frank\AppData\Local\Microsoft\Windows\INetCache\Content.MSO\AF8C68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rank\AppData\Local\Microsoft\Windows\INetCache\Content.MSO\AF8C6882.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395" cy="1570990"/>
                    </a:xfrm>
                    <a:prstGeom prst="rect">
                      <a:avLst/>
                    </a:prstGeom>
                    <a:noFill/>
                    <a:ln>
                      <a:noFill/>
                    </a:ln>
                  </pic:spPr>
                </pic:pic>
              </a:graphicData>
            </a:graphic>
          </wp:inline>
        </w:drawing>
      </w:r>
    </w:p>
    <w:p w14:paraId="64D458A8" w14:textId="0DBE4CD0" w:rsidR="0026123B" w:rsidRDefault="0016769C" w:rsidP="0026123B">
      <w:pPr>
        <w:spacing w:after="0" w:line="240" w:lineRule="auto"/>
        <w:jc w:val="center"/>
        <w:rPr>
          <w:sz w:val="18"/>
          <w:szCs w:val="18"/>
        </w:rPr>
      </w:pPr>
      <w:r>
        <w:rPr>
          <w:sz w:val="18"/>
          <w:szCs w:val="18"/>
        </w:rPr>
        <w:t>The above image demonstrates the role ANGPTL4 can play</w:t>
      </w:r>
    </w:p>
    <w:p w14:paraId="5895787D" w14:textId="356BB117" w:rsidR="0016769C" w:rsidRDefault="0016769C" w:rsidP="0016769C">
      <w:pPr>
        <w:spacing w:after="0" w:line="240" w:lineRule="auto"/>
        <w:ind w:left="2160"/>
        <w:rPr>
          <w:sz w:val="18"/>
          <w:szCs w:val="18"/>
        </w:rPr>
      </w:pPr>
      <w:r>
        <w:rPr>
          <w:sz w:val="18"/>
          <w:szCs w:val="18"/>
        </w:rPr>
        <w:t xml:space="preserve">          in tumorigenesis.</w:t>
      </w:r>
      <w:r>
        <w:rPr>
          <w:rStyle w:val="EndnoteReference"/>
          <w:sz w:val="18"/>
          <w:szCs w:val="18"/>
        </w:rPr>
        <w:endnoteReference w:id="8"/>
      </w:r>
    </w:p>
    <w:p w14:paraId="7F75814A" w14:textId="59EDEE17" w:rsidR="0016769C" w:rsidRDefault="0016769C" w:rsidP="0016769C">
      <w:pPr>
        <w:spacing w:after="0" w:line="240" w:lineRule="auto"/>
        <w:ind w:left="2160"/>
        <w:rPr>
          <w:sz w:val="18"/>
          <w:szCs w:val="18"/>
        </w:rPr>
      </w:pPr>
    </w:p>
    <w:p w14:paraId="17D3CC16" w14:textId="66EB03BF" w:rsidR="0016769C" w:rsidRDefault="0016769C" w:rsidP="0016769C">
      <w:pPr>
        <w:spacing w:after="0" w:line="240" w:lineRule="auto"/>
        <w:ind w:left="2160"/>
        <w:rPr>
          <w:sz w:val="18"/>
          <w:szCs w:val="18"/>
        </w:rPr>
      </w:pPr>
      <w:r>
        <w:rPr>
          <w:noProof/>
          <w:sz w:val="18"/>
          <w:szCs w:val="18"/>
        </w:rPr>
        <w:lastRenderedPageBreak/>
        <w:drawing>
          <wp:inline distT="0" distB="0" distL="0" distR="0" wp14:anchorId="375D730E" wp14:editId="09A73B5D">
            <wp:extent cx="3264408" cy="2825496"/>
            <wp:effectExtent l="0" t="0" r="0" b="0"/>
            <wp:docPr id="23" name="Picture 23" descr="C:\Users\Frank\AppData\Local\Microsoft\Windows\INetCache\Content.MSO\DEE14C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rank\AppData\Local\Microsoft\Windows\INetCache\Content.MSO\DEE14CEE.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4408" cy="2825496"/>
                    </a:xfrm>
                    <a:prstGeom prst="rect">
                      <a:avLst/>
                    </a:prstGeom>
                    <a:noFill/>
                    <a:ln>
                      <a:noFill/>
                    </a:ln>
                  </pic:spPr>
                </pic:pic>
              </a:graphicData>
            </a:graphic>
          </wp:inline>
        </w:drawing>
      </w:r>
    </w:p>
    <w:p w14:paraId="60FBB730" w14:textId="34C23B95" w:rsidR="0016769C" w:rsidRDefault="0016769C" w:rsidP="0016769C">
      <w:pPr>
        <w:spacing w:after="0" w:line="240" w:lineRule="auto"/>
        <w:ind w:left="2160"/>
        <w:rPr>
          <w:sz w:val="18"/>
          <w:szCs w:val="18"/>
        </w:rPr>
      </w:pPr>
      <w:r>
        <w:rPr>
          <w:sz w:val="18"/>
          <w:szCs w:val="18"/>
        </w:rPr>
        <w:t xml:space="preserve">This image shows how ANGPTL4 can both promote and inhibit tumorigenesis. </w:t>
      </w:r>
      <w:r>
        <w:rPr>
          <w:rStyle w:val="EndnoteReference"/>
          <w:sz w:val="18"/>
          <w:szCs w:val="18"/>
        </w:rPr>
        <w:endnoteReference w:id="9"/>
      </w:r>
    </w:p>
    <w:p w14:paraId="1A748717" w14:textId="036F4D88" w:rsidR="0016769C" w:rsidRDefault="0016769C" w:rsidP="0016769C">
      <w:pPr>
        <w:spacing w:after="0" w:line="240" w:lineRule="auto"/>
        <w:ind w:left="2160"/>
        <w:rPr>
          <w:sz w:val="18"/>
          <w:szCs w:val="18"/>
        </w:rPr>
      </w:pPr>
    </w:p>
    <w:p w14:paraId="5FFE1B84" w14:textId="33FA17AA" w:rsidR="0016769C" w:rsidRDefault="0016769C" w:rsidP="0016769C">
      <w:pPr>
        <w:spacing w:after="0" w:line="240" w:lineRule="auto"/>
        <w:jc w:val="both"/>
        <w:rPr>
          <w:b/>
          <w:sz w:val="18"/>
          <w:szCs w:val="18"/>
        </w:rPr>
      </w:pPr>
      <w:r>
        <w:rPr>
          <w:b/>
          <w:sz w:val="18"/>
          <w:szCs w:val="18"/>
        </w:rPr>
        <w:t>Conclusion:</w:t>
      </w:r>
    </w:p>
    <w:p w14:paraId="1C6AA7EE" w14:textId="42B920C4" w:rsidR="0016769C" w:rsidRDefault="0016769C" w:rsidP="0016769C">
      <w:pPr>
        <w:spacing w:after="0" w:line="240" w:lineRule="auto"/>
        <w:jc w:val="both"/>
        <w:rPr>
          <w:b/>
          <w:sz w:val="18"/>
          <w:szCs w:val="18"/>
        </w:rPr>
      </w:pPr>
    </w:p>
    <w:p w14:paraId="532AC7BC" w14:textId="6D8ED13B" w:rsidR="0016769C" w:rsidRPr="0016769C" w:rsidRDefault="0016769C" w:rsidP="0016769C">
      <w:pPr>
        <w:spacing w:after="0" w:line="240" w:lineRule="auto"/>
        <w:jc w:val="both"/>
        <w:rPr>
          <w:b/>
          <w:sz w:val="18"/>
          <w:szCs w:val="18"/>
        </w:rPr>
      </w:pPr>
      <w:r>
        <w:rPr>
          <w:b/>
          <w:noProof/>
          <w:sz w:val="18"/>
          <w:szCs w:val="18"/>
        </w:rPr>
        <w:drawing>
          <wp:inline distT="0" distB="0" distL="0" distR="0" wp14:anchorId="65D812D8" wp14:editId="5EC603DB">
            <wp:extent cx="5937250" cy="218503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2185035"/>
                    </a:xfrm>
                    <a:prstGeom prst="rect">
                      <a:avLst/>
                    </a:prstGeom>
                    <a:noFill/>
                    <a:ln>
                      <a:noFill/>
                    </a:ln>
                  </pic:spPr>
                </pic:pic>
              </a:graphicData>
            </a:graphic>
          </wp:inline>
        </w:drawing>
      </w:r>
    </w:p>
    <w:p w14:paraId="3AC5DCBA" w14:textId="77777777" w:rsidR="00172211" w:rsidRDefault="00172211"/>
    <w:p w14:paraId="5F0CD6DF" w14:textId="4019EADC" w:rsidR="00172211" w:rsidRDefault="00172211">
      <w:r>
        <w:t xml:space="preserve">Our analysis allowed us to develop a hypothesis concerning expression of ANGPTL4. It may seem obvious that ANGPTL4 is overexpressed in kidney cancer cells (given that its expression in cancer cells is nearly double the expression levels found in healthy cells), nonetheless, we formulate a hypothesis and perform hypothesis testing. As shown, we have an extremely small p-value, which provides excellent evidence that ANGPTL4 is overexpressed in kidney cancer cells. </w:t>
      </w:r>
    </w:p>
    <w:p w14:paraId="0744581F" w14:textId="53B19779" w:rsidR="00334E38" w:rsidRDefault="001F555E">
      <w:r>
        <w:t>Here we show basic</w:t>
      </w:r>
      <w:r w:rsidR="00AD2417">
        <w:t xml:space="preserve"> pythonic</w:t>
      </w:r>
      <w:r>
        <w:t xml:space="preserve"> techniques for conducting gene expression analysis, and we demonstrate how </w:t>
      </w:r>
      <w:r w:rsidR="00AD2417">
        <w:t>open-ended</w:t>
      </w:r>
      <w:r>
        <w:t xml:space="preserve"> data analysis can identify interesting genes</w:t>
      </w:r>
      <w:r w:rsidR="00AD2417">
        <w:t>,</w:t>
      </w:r>
      <w:r>
        <w:t xml:space="preserve"> which </w:t>
      </w:r>
      <w:r w:rsidR="00AD2417">
        <w:t>can then be selected</w:t>
      </w:r>
      <w:r>
        <w:t xml:space="preserve"> for more intensive </w:t>
      </w:r>
      <w:r w:rsidR="00AD2417">
        <w:t xml:space="preserve">analysis. We also show alternative techniques which can be used in gene expression analysis. It’s important to note, if we’re working with raw data (as opposed to already normalized and transformed data), normalization and transformation will be required. Python has many methods to normalize datasets. One method commonly used with Pandas dataframes is scaling e.g. the </w:t>
      </w:r>
      <w:proofErr w:type="spellStart"/>
      <w:r w:rsidR="00AD2417">
        <w:lastRenderedPageBreak/>
        <w:t>MinMaxScaler</w:t>
      </w:r>
      <w:proofErr w:type="spellEnd"/>
      <w:r w:rsidR="00AD2417">
        <w:t xml:space="preserve"> or </w:t>
      </w:r>
      <w:proofErr w:type="spellStart"/>
      <w:r w:rsidR="00AD2417">
        <w:t>RobustScaler</w:t>
      </w:r>
      <w:proofErr w:type="spellEnd"/>
      <w:r w:rsidR="00AD2417">
        <w:t xml:space="preserve"> methods. Z-scores can also be used for normalization. </w:t>
      </w:r>
      <w:r w:rsidR="00172211">
        <w:t>We can also employ these techniques with minimal use of packages:</w:t>
      </w:r>
    </w:p>
    <w:p w14:paraId="75EC5F50" w14:textId="495C07FE" w:rsidR="00172211" w:rsidRDefault="00172211">
      <w:r>
        <w:rPr>
          <w:noProof/>
        </w:rPr>
        <w:drawing>
          <wp:inline distT="0" distB="0" distL="0" distR="0" wp14:anchorId="0BBFEEAD" wp14:editId="618D597B">
            <wp:extent cx="5941695" cy="8585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695" cy="858520"/>
                    </a:xfrm>
                    <a:prstGeom prst="rect">
                      <a:avLst/>
                    </a:prstGeom>
                    <a:noFill/>
                    <a:ln>
                      <a:noFill/>
                    </a:ln>
                  </pic:spPr>
                </pic:pic>
              </a:graphicData>
            </a:graphic>
          </wp:inline>
        </w:drawing>
      </w:r>
    </w:p>
    <w:p w14:paraId="6AAB76E9" w14:textId="30777685" w:rsidR="00172211" w:rsidRDefault="00172211">
      <w:r>
        <w:t>Transformation of data is also very straightforward in Python:</w:t>
      </w:r>
    </w:p>
    <w:p w14:paraId="5929C904" w14:textId="458C5842" w:rsidR="00172211" w:rsidRDefault="00172211" w:rsidP="00172211">
      <w:pPr>
        <w:spacing w:after="0" w:line="240" w:lineRule="auto"/>
      </w:pPr>
      <w:r>
        <w:rPr>
          <w:noProof/>
        </w:rPr>
        <w:drawing>
          <wp:inline distT="0" distB="0" distL="0" distR="0" wp14:anchorId="47C84E8F" wp14:editId="3208F42D">
            <wp:extent cx="5941695" cy="2146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695" cy="214630"/>
                    </a:xfrm>
                    <a:prstGeom prst="rect">
                      <a:avLst/>
                    </a:prstGeom>
                    <a:noFill/>
                    <a:ln>
                      <a:noFill/>
                    </a:ln>
                  </pic:spPr>
                </pic:pic>
              </a:graphicData>
            </a:graphic>
          </wp:inline>
        </w:drawing>
      </w:r>
    </w:p>
    <w:p w14:paraId="3422B3CB" w14:textId="79E0DB10" w:rsidR="00172211" w:rsidRDefault="00172211" w:rsidP="00172211">
      <w:pPr>
        <w:spacing w:after="0" w:line="240" w:lineRule="auto"/>
        <w:rPr>
          <w:sz w:val="16"/>
          <w:szCs w:val="16"/>
        </w:rPr>
      </w:pPr>
      <w:r>
        <w:rPr>
          <w:sz w:val="16"/>
          <w:szCs w:val="16"/>
        </w:rPr>
        <w:t xml:space="preserve"> This code demonstrates application of a log2 transformation for the entire gene dataset.</w:t>
      </w:r>
    </w:p>
    <w:p w14:paraId="4240E4AE" w14:textId="4E91C864" w:rsidR="00172211" w:rsidRDefault="00172211" w:rsidP="00172211">
      <w:pPr>
        <w:spacing w:after="0" w:line="240" w:lineRule="auto"/>
        <w:rPr>
          <w:sz w:val="16"/>
          <w:szCs w:val="16"/>
        </w:rPr>
      </w:pPr>
    </w:p>
    <w:p w14:paraId="49C194B8" w14:textId="6B6E9629" w:rsidR="00172211" w:rsidRDefault="00F069D9" w:rsidP="00172211">
      <w:pPr>
        <w:spacing w:after="0" w:line="240" w:lineRule="auto"/>
        <w:rPr>
          <w:b/>
        </w:rPr>
      </w:pPr>
      <w:r>
        <w:rPr>
          <w:b/>
        </w:rPr>
        <w:t>Recommendations:</w:t>
      </w:r>
    </w:p>
    <w:p w14:paraId="0C839131" w14:textId="77777777" w:rsidR="00F069D9" w:rsidRDefault="00F069D9" w:rsidP="00172211">
      <w:pPr>
        <w:spacing w:after="0" w:line="240" w:lineRule="auto"/>
        <w:rPr>
          <w:b/>
        </w:rPr>
      </w:pPr>
    </w:p>
    <w:p w14:paraId="288A4BD1" w14:textId="5CDB3030" w:rsidR="00F069D9" w:rsidRDefault="00F069D9" w:rsidP="00F069D9">
      <w:pPr>
        <w:pStyle w:val="ListParagraph"/>
        <w:numPr>
          <w:ilvl w:val="0"/>
          <w:numId w:val="9"/>
        </w:numPr>
        <w:spacing w:after="0" w:line="240" w:lineRule="auto"/>
      </w:pPr>
      <w:r>
        <w:t>All genes which appear in the cluster dendrograms should be further investigated.</w:t>
      </w:r>
    </w:p>
    <w:p w14:paraId="361CE435" w14:textId="64B36FF4" w:rsidR="00F069D9" w:rsidRDefault="00F069D9" w:rsidP="00F069D9">
      <w:pPr>
        <w:pStyle w:val="ListParagraph"/>
        <w:numPr>
          <w:ilvl w:val="0"/>
          <w:numId w:val="9"/>
        </w:numPr>
        <w:spacing w:after="0" w:line="240" w:lineRule="auto"/>
      </w:pPr>
      <w:r>
        <w:t xml:space="preserve">For any gene in our cohort that has not been characterized previously, wet lab studies should be done to better understand </w:t>
      </w:r>
      <w:r w:rsidR="00A366A3">
        <w:t>their</w:t>
      </w:r>
      <w:r>
        <w:t xml:space="preserve"> function and role in human disease.</w:t>
      </w:r>
    </w:p>
    <w:p w14:paraId="20334AB0" w14:textId="7B9D0137" w:rsidR="00F069D9" w:rsidRDefault="00F069D9" w:rsidP="00F069D9">
      <w:pPr>
        <w:pStyle w:val="ListParagraph"/>
        <w:numPr>
          <w:ilvl w:val="0"/>
          <w:numId w:val="9"/>
        </w:numPr>
        <w:spacing w:after="0" w:line="240" w:lineRule="auto"/>
      </w:pPr>
      <w:r>
        <w:t xml:space="preserve">Focusing on ANGPTL4, epidemiological </w:t>
      </w:r>
      <w:r w:rsidR="00A366A3">
        <w:t>studies</w:t>
      </w:r>
      <w:r>
        <w:t xml:space="preserve"> should be </w:t>
      </w:r>
      <w:r w:rsidR="00A366A3">
        <w:t>conducted</w:t>
      </w:r>
      <w:r>
        <w:t xml:space="preserve"> to further elucidate on the link between obesity and kidney cancer.</w:t>
      </w:r>
    </w:p>
    <w:p w14:paraId="25E40BD0" w14:textId="34BB10F7" w:rsidR="00F069D9" w:rsidRDefault="00F069D9" w:rsidP="00F069D9">
      <w:pPr>
        <w:pStyle w:val="ListParagraph"/>
        <w:numPr>
          <w:ilvl w:val="1"/>
          <w:numId w:val="9"/>
        </w:numPr>
        <w:spacing w:after="0" w:line="240" w:lineRule="auto"/>
      </w:pPr>
      <w:r>
        <w:t xml:space="preserve">Given the function of ANGPTL4, it may make sense to better understand the role sugar/carbohydrate consumption plays in promoting tumorigenesis. </w:t>
      </w:r>
    </w:p>
    <w:p w14:paraId="0786A302" w14:textId="36CB3836" w:rsidR="00F069D9" w:rsidRPr="00F069D9" w:rsidRDefault="00F069D9" w:rsidP="00F069D9">
      <w:pPr>
        <w:pStyle w:val="ListParagraph"/>
        <w:numPr>
          <w:ilvl w:val="1"/>
          <w:numId w:val="9"/>
        </w:numPr>
        <w:spacing w:after="0" w:line="240" w:lineRule="auto"/>
      </w:pPr>
      <w:r>
        <w:t xml:space="preserve">Is it exclusively obesity, or does high sugar/carbohydrate consumption play an important role in cancer and tumorigenesis? </w:t>
      </w:r>
    </w:p>
    <w:p w14:paraId="57E60CFF" w14:textId="77777777" w:rsidR="00172211" w:rsidRPr="00F236E8" w:rsidRDefault="00172211"/>
    <w:sectPr w:rsidR="00172211" w:rsidRPr="00F236E8">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DE079" w14:textId="77777777" w:rsidR="00870A08" w:rsidRDefault="00870A08" w:rsidP="002E37DC">
      <w:pPr>
        <w:spacing w:after="0" w:line="240" w:lineRule="auto"/>
      </w:pPr>
      <w:r>
        <w:separator/>
      </w:r>
    </w:p>
  </w:endnote>
  <w:endnote w:type="continuationSeparator" w:id="0">
    <w:p w14:paraId="7B7C9F53" w14:textId="77777777" w:rsidR="00870A08" w:rsidRDefault="00870A08" w:rsidP="002E37DC">
      <w:pPr>
        <w:spacing w:after="0" w:line="240" w:lineRule="auto"/>
      </w:pPr>
      <w:r>
        <w:continuationSeparator/>
      </w:r>
    </w:p>
  </w:endnote>
  <w:endnote w:id="1">
    <w:p w14:paraId="628ED4C1" w14:textId="33789F8C" w:rsidR="002E37DC" w:rsidRPr="0016769C" w:rsidRDefault="002E37DC">
      <w:pPr>
        <w:pStyle w:val="EndnoteText"/>
        <w:rPr>
          <w:sz w:val="16"/>
          <w:szCs w:val="16"/>
        </w:rPr>
      </w:pPr>
      <w:r w:rsidRPr="0016769C">
        <w:rPr>
          <w:rStyle w:val="EndnoteReference"/>
          <w:sz w:val="16"/>
          <w:szCs w:val="16"/>
        </w:rPr>
        <w:endnoteRef/>
      </w:r>
      <w:r w:rsidRPr="0016769C">
        <w:rPr>
          <w:sz w:val="16"/>
          <w:szCs w:val="16"/>
        </w:rPr>
        <w:t xml:space="preserve"> The Cancer Genome Atlas: About TCGA, retrieved July 31, 2018, available at, </w:t>
      </w:r>
      <w:hyperlink r:id="rId1" w:history="1">
        <w:r w:rsidRPr="0016769C">
          <w:rPr>
            <w:rStyle w:val="Hyperlink"/>
            <w:sz w:val="16"/>
            <w:szCs w:val="16"/>
          </w:rPr>
          <w:t>https://cancergenome.nih.gov/abouttcga</w:t>
        </w:r>
      </w:hyperlink>
      <w:r w:rsidRPr="0016769C">
        <w:rPr>
          <w:sz w:val="16"/>
          <w:szCs w:val="16"/>
        </w:rPr>
        <w:t xml:space="preserve">. </w:t>
      </w:r>
    </w:p>
  </w:endnote>
  <w:endnote w:id="2">
    <w:p w14:paraId="1149F1DD" w14:textId="1A5493DD" w:rsidR="00D93973" w:rsidRPr="0016769C" w:rsidRDefault="00D93973">
      <w:pPr>
        <w:pStyle w:val="EndnoteText"/>
        <w:rPr>
          <w:sz w:val="16"/>
          <w:szCs w:val="16"/>
        </w:rPr>
      </w:pPr>
      <w:r w:rsidRPr="0016769C">
        <w:rPr>
          <w:rStyle w:val="EndnoteReference"/>
          <w:sz w:val="16"/>
          <w:szCs w:val="16"/>
        </w:rPr>
        <w:endnoteRef/>
      </w:r>
      <w:r w:rsidRPr="0016769C">
        <w:rPr>
          <w:sz w:val="16"/>
          <w:szCs w:val="16"/>
        </w:rPr>
        <w:t xml:space="preserve"> Renal Cell Carcinoma, Wikipedia, last edited June 14, 2018, available at, https://en.wikipedia.org/wiki/Renal_cell_carcinoma#Risk_factors.</w:t>
      </w:r>
    </w:p>
  </w:endnote>
  <w:endnote w:id="3">
    <w:p w14:paraId="19B9D21E" w14:textId="4E10844C" w:rsidR="00453B5A" w:rsidRPr="0016769C" w:rsidRDefault="00453B5A" w:rsidP="007C1046">
      <w:pPr>
        <w:pStyle w:val="HTMLPreformatted"/>
        <w:shd w:val="clear" w:color="auto" w:fill="FFFFFF"/>
        <w:rPr>
          <w:sz w:val="16"/>
          <w:szCs w:val="16"/>
        </w:rPr>
      </w:pPr>
      <w:r w:rsidRPr="0016769C">
        <w:rPr>
          <w:rStyle w:val="EndnoteReference"/>
          <w:rFonts w:asciiTheme="minorHAnsi" w:hAnsiTheme="minorHAnsi" w:cstheme="minorHAnsi"/>
          <w:sz w:val="16"/>
          <w:szCs w:val="16"/>
        </w:rPr>
        <w:endnoteRef/>
      </w:r>
      <w:r w:rsidRPr="0016769C">
        <w:rPr>
          <w:rFonts w:asciiTheme="minorHAnsi" w:hAnsiTheme="minorHAnsi" w:cstheme="minorHAnsi"/>
          <w:sz w:val="16"/>
          <w:szCs w:val="16"/>
        </w:rPr>
        <w:t xml:space="preserve"> </w:t>
      </w:r>
      <w:r w:rsidRPr="0016769C">
        <w:rPr>
          <w:rFonts w:asciiTheme="minorHAnsi" w:hAnsiTheme="minorHAnsi" w:cstheme="minorHAnsi"/>
          <w:color w:val="000000"/>
          <w:sz w:val="16"/>
          <w:szCs w:val="16"/>
        </w:rPr>
        <w:t>PPAR Research, Volume 2017, Article ID 8187235, available at, https://www.hindawi.com/journals/ppar/2017/8187235/#B1.</w:t>
      </w:r>
    </w:p>
  </w:endnote>
  <w:endnote w:id="4">
    <w:p w14:paraId="26B00C0A" w14:textId="4A762A89" w:rsidR="007C1046" w:rsidRPr="0016769C" w:rsidRDefault="007C1046">
      <w:pPr>
        <w:pStyle w:val="EndnoteText"/>
        <w:rPr>
          <w:sz w:val="16"/>
          <w:szCs w:val="16"/>
        </w:rPr>
      </w:pPr>
      <w:r w:rsidRPr="0016769C">
        <w:rPr>
          <w:rStyle w:val="EndnoteReference"/>
          <w:sz w:val="16"/>
          <w:szCs w:val="16"/>
        </w:rPr>
        <w:endnoteRef/>
      </w:r>
      <w:r w:rsidRPr="0016769C">
        <w:rPr>
          <w:sz w:val="16"/>
          <w:szCs w:val="16"/>
        </w:rPr>
        <w:t xml:space="preserve"> </w:t>
      </w:r>
      <w:r w:rsidR="00D869B8" w:rsidRPr="0016769C">
        <w:rPr>
          <w:sz w:val="16"/>
          <w:szCs w:val="16"/>
        </w:rPr>
        <w:t>L. Mulvey, Differential Gene Expression and Hypothesis Testing, retrieved July 31, 2018, available at, http://compbio.pbworks.com/w/page/16252887/Differential%20Gene%20Expression%20and%20Hypothesis%20Testing.</w:t>
      </w:r>
    </w:p>
  </w:endnote>
  <w:endnote w:id="5">
    <w:p w14:paraId="098005CE" w14:textId="7AD6BCBF" w:rsidR="00DC5EDB" w:rsidRPr="0016769C" w:rsidRDefault="00DC5EDB">
      <w:pPr>
        <w:pStyle w:val="EndnoteText"/>
        <w:rPr>
          <w:sz w:val="16"/>
          <w:szCs w:val="16"/>
        </w:rPr>
      </w:pPr>
      <w:r w:rsidRPr="0016769C">
        <w:rPr>
          <w:rStyle w:val="EndnoteReference"/>
          <w:sz w:val="16"/>
          <w:szCs w:val="16"/>
        </w:rPr>
        <w:endnoteRef/>
      </w:r>
      <w:r w:rsidRPr="0016769C">
        <w:rPr>
          <w:sz w:val="16"/>
          <w:szCs w:val="16"/>
        </w:rPr>
        <w:t xml:space="preserve"> K. Lo &amp; R. Gottardo, Flexible empirical Bayes models for differential gene expression, Bioinformatics, Vol. 23, Issue 3, pp. 328-335 (Feb. 1, 2007).</w:t>
      </w:r>
    </w:p>
  </w:endnote>
  <w:endnote w:id="6">
    <w:p w14:paraId="0ACE74E4" w14:textId="18A71BBC" w:rsidR="000A66EE" w:rsidRPr="000A66EE" w:rsidRDefault="000A66EE">
      <w:pPr>
        <w:pStyle w:val="EndnoteText"/>
        <w:rPr>
          <w:sz w:val="16"/>
          <w:szCs w:val="16"/>
        </w:rPr>
      </w:pPr>
      <w:r>
        <w:rPr>
          <w:rStyle w:val="EndnoteReference"/>
        </w:rPr>
        <w:endnoteRef/>
      </w:r>
      <w:r>
        <w:t xml:space="preserve"> </w:t>
      </w:r>
      <w:r>
        <w:rPr>
          <w:sz w:val="16"/>
          <w:szCs w:val="16"/>
        </w:rPr>
        <w:t xml:space="preserve">ANGPTL4 angiopoietin like 4, NCBI Gene, updated July 29, 2018, available at, </w:t>
      </w:r>
      <w:r w:rsidRPr="000A66EE">
        <w:rPr>
          <w:sz w:val="16"/>
          <w:szCs w:val="16"/>
        </w:rPr>
        <w:t>https://www.ncbi.nlm.nih.gov/gene/51129</w:t>
      </w:r>
      <w:r>
        <w:rPr>
          <w:sz w:val="16"/>
          <w:szCs w:val="16"/>
        </w:rPr>
        <w:t>.</w:t>
      </w:r>
    </w:p>
  </w:endnote>
  <w:endnote w:id="7">
    <w:p w14:paraId="41681D9F" w14:textId="20C9D34B" w:rsidR="000A66EE" w:rsidRDefault="000A66EE">
      <w:pPr>
        <w:pStyle w:val="EndnoteText"/>
      </w:pPr>
      <w:r>
        <w:rPr>
          <w:rStyle w:val="EndnoteReference"/>
        </w:rPr>
        <w:endnoteRef/>
      </w:r>
      <w:r>
        <w:t xml:space="preserve"> </w:t>
      </w:r>
      <w:r w:rsidRPr="0016769C">
        <w:rPr>
          <w:sz w:val="16"/>
          <w:szCs w:val="16"/>
        </w:rPr>
        <w:t>Jie Tan, Ming &amp; Teo, Ziqiang &amp; Sng, Ming Keat &amp; Zhu, Pengcheng &amp; Tan, Nguan Soon. (2012). Emerging Roles of Angiopoietin-like 4 in Human Cancer. Molecular cancer research : MCR. 10. 677-88. 10.1158/1541-7786.MCR-11-0519</w:t>
      </w:r>
    </w:p>
  </w:endnote>
  <w:endnote w:id="8">
    <w:p w14:paraId="336E9C37" w14:textId="61D795E2" w:rsidR="0016769C" w:rsidRPr="0016769C" w:rsidRDefault="0016769C">
      <w:pPr>
        <w:pStyle w:val="EndnoteText"/>
        <w:rPr>
          <w:sz w:val="16"/>
          <w:szCs w:val="16"/>
        </w:rPr>
      </w:pPr>
      <w:r w:rsidRPr="0016769C">
        <w:rPr>
          <w:rStyle w:val="EndnoteReference"/>
          <w:sz w:val="16"/>
          <w:szCs w:val="16"/>
        </w:rPr>
        <w:endnoteRef/>
      </w:r>
      <w:r w:rsidRPr="0016769C">
        <w:rPr>
          <w:sz w:val="16"/>
          <w:szCs w:val="16"/>
        </w:rPr>
        <w:t xml:space="preserve"> Pengcheng Zhu, Yan Yih Goh, Hwee Fang Alison Chin, Sander Kersten, Nguan Soon Tan, Angiopoietin-like 4: a decade of research, Bioscience Reports (Dec. 22, 2011).</w:t>
      </w:r>
    </w:p>
  </w:endnote>
  <w:endnote w:id="9">
    <w:p w14:paraId="37D37F00" w14:textId="7A799E56" w:rsidR="0016769C" w:rsidRPr="0016769C" w:rsidRDefault="0016769C">
      <w:pPr>
        <w:pStyle w:val="EndnoteText"/>
        <w:rPr>
          <w:sz w:val="16"/>
          <w:szCs w:val="16"/>
        </w:rPr>
      </w:pPr>
      <w:r w:rsidRPr="0016769C">
        <w:rPr>
          <w:rStyle w:val="EndnoteReference"/>
          <w:sz w:val="16"/>
          <w:szCs w:val="16"/>
        </w:rPr>
        <w:endnoteRef/>
      </w:r>
      <w:r w:rsidRPr="0016769C">
        <w:rPr>
          <w:sz w:val="16"/>
          <w:szCs w:val="16"/>
        </w:rPr>
        <w:t xml:space="preserve"> Jie Tan</w:t>
      </w:r>
      <w:r w:rsidR="000A66EE">
        <w:rPr>
          <w:sz w:val="16"/>
          <w:szCs w:val="16"/>
        </w:rPr>
        <w:t xml:space="preserve"> et al. </w:t>
      </w:r>
      <w:r w:rsidRPr="0016769C">
        <w:rPr>
          <w:sz w:val="16"/>
          <w:szCs w:val="16"/>
        </w:rPr>
        <w:t xml:space="preserve">(2012).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6DD16" w14:textId="77777777" w:rsidR="00870A08" w:rsidRDefault="00870A08" w:rsidP="002E37DC">
      <w:pPr>
        <w:spacing w:after="0" w:line="240" w:lineRule="auto"/>
      </w:pPr>
      <w:r>
        <w:separator/>
      </w:r>
    </w:p>
  </w:footnote>
  <w:footnote w:type="continuationSeparator" w:id="0">
    <w:p w14:paraId="7D8DBA3C" w14:textId="77777777" w:rsidR="00870A08" w:rsidRDefault="00870A08" w:rsidP="002E37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4FEED" w14:textId="7DC149C5" w:rsidR="00217632" w:rsidRDefault="00217632">
    <w:pPr>
      <w:pStyle w:val="Header"/>
      <w:rPr>
        <w:b/>
      </w:rPr>
    </w:pPr>
    <w:r>
      <w:rPr>
        <w:b/>
      </w:rPr>
      <w:t>Frank M. Jenkins</w:t>
    </w:r>
    <w:r>
      <w:rPr>
        <w:b/>
      </w:rPr>
      <w:tab/>
    </w:r>
    <w:r>
      <w:rPr>
        <w:b/>
      </w:rPr>
      <w:tab/>
      <w:t>Springboard – Data Analysis with Python</w:t>
    </w:r>
  </w:p>
  <w:p w14:paraId="7B38104F" w14:textId="2EAF8965" w:rsidR="00217632" w:rsidRPr="00217632" w:rsidRDefault="00D92E3F">
    <w:pPr>
      <w:pStyle w:val="Header"/>
      <w:rPr>
        <w:b/>
      </w:rPr>
    </w:pPr>
    <w:r>
      <w:rPr>
        <w:b/>
      </w:rPr>
      <w:t>Data Analysis of TCGA Dataset</w:t>
    </w:r>
    <w:r>
      <w:rPr>
        <w:b/>
      </w:rPr>
      <w:tab/>
    </w:r>
    <w:r>
      <w:rPr>
        <w:b/>
      </w:rPr>
      <w:tab/>
      <w:t>Capstone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C34C1"/>
    <w:multiLevelType w:val="hybridMultilevel"/>
    <w:tmpl w:val="1EFC2620"/>
    <w:lvl w:ilvl="0" w:tplc="EE1ADC66">
      <w:start w:val="1"/>
      <w:numFmt w:val="bullet"/>
      <w:lvlText w:val="•"/>
      <w:lvlJc w:val="left"/>
      <w:pPr>
        <w:tabs>
          <w:tab w:val="num" w:pos="720"/>
        </w:tabs>
        <w:ind w:left="720" w:hanging="360"/>
      </w:pPr>
      <w:rPr>
        <w:rFonts w:ascii="Arial" w:hAnsi="Arial" w:hint="default"/>
      </w:rPr>
    </w:lvl>
    <w:lvl w:ilvl="1" w:tplc="C22A3FFE" w:tentative="1">
      <w:start w:val="1"/>
      <w:numFmt w:val="bullet"/>
      <w:lvlText w:val="•"/>
      <w:lvlJc w:val="left"/>
      <w:pPr>
        <w:tabs>
          <w:tab w:val="num" w:pos="1440"/>
        </w:tabs>
        <w:ind w:left="1440" w:hanging="360"/>
      </w:pPr>
      <w:rPr>
        <w:rFonts w:ascii="Arial" w:hAnsi="Arial" w:hint="default"/>
      </w:rPr>
    </w:lvl>
    <w:lvl w:ilvl="2" w:tplc="8250A62E" w:tentative="1">
      <w:start w:val="1"/>
      <w:numFmt w:val="bullet"/>
      <w:lvlText w:val="•"/>
      <w:lvlJc w:val="left"/>
      <w:pPr>
        <w:tabs>
          <w:tab w:val="num" w:pos="2160"/>
        </w:tabs>
        <w:ind w:left="2160" w:hanging="360"/>
      </w:pPr>
      <w:rPr>
        <w:rFonts w:ascii="Arial" w:hAnsi="Arial" w:hint="default"/>
      </w:rPr>
    </w:lvl>
    <w:lvl w:ilvl="3" w:tplc="C6C031A4" w:tentative="1">
      <w:start w:val="1"/>
      <w:numFmt w:val="bullet"/>
      <w:lvlText w:val="•"/>
      <w:lvlJc w:val="left"/>
      <w:pPr>
        <w:tabs>
          <w:tab w:val="num" w:pos="2880"/>
        </w:tabs>
        <w:ind w:left="2880" w:hanging="360"/>
      </w:pPr>
      <w:rPr>
        <w:rFonts w:ascii="Arial" w:hAnsi="Arial" w:hint="default"/>
      </w:rPr>
    </w:lvl>
    <w:lvl w:ilvl="4" w:tplc="E3CA4F18" w:tentative="1">
      <w:start w:val="1"/>
      <w:numFmt w:val="bullet"/>
      <w:lvlText w:val="•"/>
      <w:lvlJc w:val="left"/>
      <w:pPr>
        <w:tabs>
          <w:tab w:val="num" w:pos="3600"/>
        </w:tabs>
        <w:ind w:left="3600" w:hanging="360"/>
      </w:pPr>
      <w:rPr>
        <w:rFonts w:ascii="Arial" w:hAnsi="Arial" w:hint="default"/>
      </w:rPr>
    </w:lvl>
    <w:lvl w:ilvl="5" w:tplc="D4BA6A30" w:tentative="1">
      <w:start w:val="1"/>
      <w:numFmt w:val="bullet"/>
      <w:lvlText w:val="•"/>
      <w:lvlJc w:val="left"/>
      <w:pPr>
        <w:tabs>
          <w:tab w:val="num" w:pos="4320"/>
        </w:tabs>
        <w:ind w:left="4320" w:hanging="360"/>
      </w:pPr>
      <w:rPr>
        <w:rFonts w:ascii="Arial" w:hAnsi="Arial" w:hint="default"/>
      </w:rPr>
    </w:lvl>
    <w:lvl w:ilvl="6" w:tplc="4C7219C6" w:tentative="1">
      <w:start w:val="1"/>
      <w:numFmt w:val="bullet"/>
      <w:lvlText w:val="•"/>
      <w:lvlJc w:val="left"/>
      <w:pPr>
        <w:tabs>
          <w:tab w:val="num" w:pos="5040"/>
        </w:tabs>
        <w:ind w:left="5040" w:hanging="360"/>
      </w:pPr>
      <w:rPr>
        <w:rFonts w:ascii="Arial" w:hAnsi="Arial" w:hint="default"/>
      </w:rPr>
    </w:lvl>
    <w:lvl w:ilvl="7" w:tplc="3AA8B94E" w:tentative="1">
      <w:start w:val="1"/>
      <w:numFmt w:val="bullet"/>
      <w:lvlText w:val="•"/>
      <w:lvlJc w:val="left"/>
      <w:pPr>
        <w:tabs>
          <w:tab w:val="num" w:pos="5760"/>
        </w:tabs>
        <w:ind w:left="5760" w:hanging="360"/>
      </w:pPr>
      <w:rPr>
        <w:rFonts w:ascii="Arial" w:hAnsi="Arial" w:hint="default"/>
      </w:rPr>
    </w:lvl>
    <w:lvl w:ilvl="8" w:tplc="70E2ECE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0C01F6D"/>
    <w:multiLevelType w:val="hybridMultilevel"/>
    <w:tmpl w:val="81F873A0"/>
    <w:lvl w:ilvl="0" w:tplc="4148F85A">
      <w:start w:val="1"/>
      <w:numFmt w:val="bullet"/>
      <w:lvlText w:val="•"/>
      <w:lvlJc w:val="left"/>
      <w:pPr>
        <w:tabs>
          <w:tab w:val="num" w:pos="720"/>
        </w:tabs>
        <w:ind w:left="720" w:hanging="360"/>
      </w:pPr>
      <w:rPr>
        <w:rFonts w:ascii="Arial" w:hAnsi="Arial" w:hint="default"/>
      </w:rPr>
    </w:lvl>
    <w:lvl w:ilvl="1" w:tplc="4F70D9F4" w:tentative="1">
      <w:start w:val="1"/>
      <w:numFmt w:val="bullet"/>
      <w:lvlText w:val="•"/>
      <w:lvlJc w:val="left"/>
      <w:pPr>
        <w:tabs>
          <w:tab w:val="num" w:pos="1440"/>
        </w:tabs>
        <w:ind w:left="1440" w:hanging="360"/>
      </w:pPr>
      <w:rPr>
        <w:rFonts w:ascii="Arial" w:hAnsi="Arial" w:hint="default"/>
      </w:rPr>
    </w:lvl>
    <w:lvl w:ilvl="2" w:tplc="061A6690" w:tentative="1">
      <w:start w:val="1"/>
      <w:numFmt w:val="bullet"/>
      <w:lvlText w:val="•"/>
      <w:lvlJc w:val="left"/>
      <w:pPr>
        <w:tabs>
          <w:tab w:val="num" w:pos="2160"/>
        </w:tabs>
        <w:ind w:left="2160" w:hanging="360"/>
      </w:pPr>
      <w:rPr>
        <w:rFonts w:ascii="Arial" w:hAnsi="Arial" w:hint="default"/>
      </w:rPr>
    </w:lvl>
    <w:lvl w:ilvl="3" w:tplc="42B21FEC" w:tentative="1">
      <w:start w:val="1"/>
      <w:numFmt w:val="bullet"/>
      <w:lvlText w:val="•"/>
      <w:lvlJc w:val="left"/>
      <w:pPr>
        <w:tabs>
          <w:tab w:val="num" w:pos="2880"/>
        </w:tabs>
        <w:ind w:left="2880" w:hanging="360"/>
      </w:pPr>
      <w:rPr>
        <w:rFonts w:ascii="Arial" w:hAnsi="Arial" w:hint="default"/>
      </w:rPr>
    </w:lvl>
    <w:lvl w:ilvl="4" w:tplc="F3BADDB6" w:tentative="1">
      <w:start w:val="1"/>
      <w:numFmt w:val="bullet"/>
      <w:lvlText w:val="•"/>
      <w:lvlJc w:val="left"/>
      <w:pPr>
        <w:tabs>
          <w:tab w:val="num" w:pos="3600"/>
        </w:tabs>
        <w:ind w:left="3600" w:hanging="360"/>
      </w:pPr>
      <w:rPr>
        <w:rFonts w:ascii="Arial" w:hAnsi="Arial" w:hint="default"/>
      </w:rPr>
    </w:lvl>
    <w:lvl w:ilvl="5" w:tplc="36B41424" w:tentative="1">
      <w:start w:val="1"/>
      <w:numFmt w:val="bullet"/>
      <w:lvlText w:val="•"/>
      <w:lvlJc w:val="left"/>
      <w:pPr>
        <w:tabs>
          <w:tab w:val="num" w:pos="4320"/>
        </w:tabs>
        <w:ind w:left="4320" w:hanging="360"/>
      </w:pPr>
      <w:rPr>
        <w:rFonts w:ascii="Arial" w:hAnsi="Arial" w:hint="default"/>
      </w:rPr>
    </w:lvl>
    <w:lvl w:ilvl="6" w:tplc="EFBCAD6E" w:tentative="1">
      <w:start w:val="1"/>
      <w:numFmt w:val="bullet"/>
      <w:lvlText w:val="•"/>
      <w:lvlJc w:val="left"/>
      <w:pPr>
        <w:tabs>
          <w:tab w:val="num" w:pos="5040"/>
        </w:tabs>
        <w:ind w:left="5040" w:hanging="360"/>
      </w:pPr>
      <w:rPr>
        <w:rFonts w:ascii="Arial" w:hAnsi="Arial" w:hint="default"/>
      </w:rPr>
    </w:lvl>
    <w:lvl w:ilvl="7" w:tplc="09EACAD2" w:tentative="1">
      <w:start w:val="1"/>
      <w:numFmt w:val="bullet"/>
      <w:lvlText w:val="•"/>
      <w:lvlJc w:val="left"/>
      <w:pPr>
        <w:tabs>
          <w:tab w:val="num" w:pos="5760"/>
        </w:tabs>
        <w:ind w:left="5760" w:hanging="360"/>
      </w:pPr>
      <w:rPr>
        <w:rFonts w:ascii="Arial" w:hAnsi="Arial" w:hint="default"/>
      </w:rPr>
    </w:lvl>
    <w:lvl w:ilvl="8" w:tplc="5A829D5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2C4197"/>
    <w:multiLevelType w:val="hybridMultilevel"/>
    <w:tmpl w:val="251640E4"/>
    <w:lvl w:ilvl="0" w:tplc="DE700FA4">
      <w:start w:val="1"/>
      <w:numFmt w:val="bullet"/>
      <w:lvlText w:val="•"/>
      <w:lvlJc w:val="left"/>
      <w:pPr>
        <w:tabs>
          <w:tab w:val="num" w:pos="720"/>
        </w:tabs>
        <w:ind w:left="720" w:hanging="360"/>
      </w:pPr>
      <w:rPr>
        <w:rFonts w:ascii="Arial" w:hAnsi="Arial" w:hint="default"/>
      </w:rPr>
    </w:lvl>
    <w:lvl w:ilvl="1" w:tplc="4BDE1670" w:tentative="1">
      <w:start w:val="1"/>
      <w:numFmt w:val="bullet"/>
      <w:lvlText w:val="•"/>
      <w:lvlJc w:val="left"/>
      <w:pPr>
        <w:tabs>
          <w:tab w:val="num" w:pos="1440"/>
        </w:tabs>
        <w:ind w:left="1440" w:hanging="360"/>
      </w:pPr>
      <w:rPr>
        <w:rFonts w:ascii="Arial" w:hAnsi="Arial" w:hint="default"/>
      </w:rPr>
    </w:lvl>
    <w:lvl w:ilvl="2" w:tplc="31F2609C" w:tentative="1">
      <w:start w:val="1"/>
      <w:numFmt w:val="bullet"/>
      <w:lvlText w:val="•"/>
      <w:lvlJc w:val="left"/>
      <w:pPr>
        <w:tabs>
          <w:tab w:val="num" w:pos="2160"/>
        </w:tabs>
        <w:ind w:left="2160" w:hanging="360"/>
      </w:pPr>
      <w:rPr>
        <w:rFonts w:ascii="Arial" w:hAnsi="Arial" w:hint="default"/>
      </w:rPr>
    </w:lvl>
    <w:lvl w:ilvl="3" w:tplc="A5F2BCCA" w:tentative="1">
      <w:start w:val="1"/>
      <w:numFmt w:val="bullet"/>
      <w:lvlText w:val="•"/>
      <w:lvlJc w:val="left"/>
      <w:pPr>
        <w:tabs>
          <w:tab w:val="num" w:pos="2880"/>
        </w:tabs>
        <w:ind w:left="2880" w:hanging="360"/>
      </w:pPr>
      <w:rPr>
        <w:rFonts w:ascii="Arial" w:hAnsi="Arial" w:hint="default"/>
      </w:rPr>
    </w:lvl>
    <w:lvl w:ilvl="4" w:tplc="2496D022" w:tentative="1">
      <w:start w:val="1"/>
      <w:numFmt w:val="bullet"/>
      <w:lvlText w:val="•"/>
      <w:lvlJc w:val="left"/>
      <w:pPr>
        <w:tabs>
          <w:tab w:val="num" w:pos="3600"/>
        </w:tabs>
        <w:ind w:left="3600" w:hanging="360"/>
      </w:pPr>
      <w:rPr>
        <w:rFonts w:ascii="Arial" w:hAnsi="Arial" w:hint="default"/>
      </w:rPr>
    </w:lvl>
    <w:lvl w:ilvl="5" w:tplc="4B28D352" w:tentative="1">
      <w:start w:val="1"/>
      <w:numFmt w:val="bullet"/>
      <w:lvlText w:val="•"/>
      <w:lvlJc w:val="left"/>
      <w:pPr>
        <w:tabs>
          <w:tab w:val="num" w:pos="4320"/>
        </w:tabs>
        <w:ind w:left="4320" w:hanging="360"/>
      </w:pPr>
      <w:rPr>
        <w:rFonts w:ascii="Arial" w:hAnsi="Arial" w:hint="default"/>
      </w:rPr>
    </w:lvl>
    <w:lvl w:ilvl="6" w:tplc="97006F18" w:tentative="1">
      <w:start w:val="1"/>
      <w:numFmt w:val="bullet"/>
      <w:lvlText w:val="•"/>
      <w:lvlJc w:val="left"/>
      <w:pPr>
        <w:tabs>
          <w:tab w:val="num" w:pos="5040"/>
        </w:tabs>
        <w:ind w:left="5040" w:hanging="360"/>
      </w:pPr>
      <w:rPr>
        <w:rFonts w:ascii="Arial" w:hAnsi="Arial" w:hint="default"/>
      </w:rPr>
    </w:lvl>
    <w:lvl w:ilvl="7" w:tplc="58B8FE8E" w:tentative="1">
      <w:start w:val="1"/>
      <w:numFmt w:val="bullet"/>
      <w:lvlText w:val="•"/>
      <w:lvlJc w:val="left"/>
      <w:pPr>
        <w:tabs>
          <w:tab w:val="num" w:pos="5760"/>
        </w:tabs>
        <w:ind w:left="5760" w:hanging="360"/>
      </w:pPr>
      <w:rPr>
        <w:rFonts w:ascii="Arial" w:hAnsi="Arial" w:hint="default"/>
      </w:rPr>
    </w:lvl>
    <w:lvl w:ilvl="8" w:tplc="42DC826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D285E06"/>
    <w:multiLevelType w:val="hybridMultilevel"/>
    <w:tmpl w:val="A9909E5E"/>
    <w:lvl w:ilvl="0" w:tplc="F818435A">
      <w:start w:val="1"/>
      <w:numFmt w:val="bullet"/>
      <w:lvlText w:val="•"/>
      <w:lvlJc w:val="left"/>
      <w:pPr>
        <w:tabs>
          <w:tab w:val="num" w:pos="720"/>
        </w:tabs>
        <w:ind w:left="720" w:hanging="360"/>
      </w:pPr>
      <w:rPr>
        <w:rFonts w:ascii="Arial" w:hAnsi="Arial" w:hint="default"/>
      </w:rPr>
    </w:lvl>
    <w:lvl w:ilvl="1" w:tplc="30C8C8C4">
      <w:start w:val="1"/>
      <w:numFmt w:val="bullet"/>
      <w:lvlText w:val="•"/>
      <w:lvlJc w:val="left"/>
      <w:pPr>
        <w:tabs>
          <w:tab w:val="num" w:pos="1440"/>
        </w:tabs>
        <w:ind w:left="1440" w:hanging="360"/>
      </w:pPr>
      <w:rPr>
        <w:rFonts w:ascii="Arial" w:hAnsi="Arial" w:hint="default"/>
      </w:rPr>
    </w:lvl>
    <w:lvl w:ilvl="2" w:tplc="8646A812" w:tentative="1">
      <w:start w:val="1"/>
      <w:numFmt w:val="bullet"/>
      <w:lvlText w:val="•"/>
      <w:lvlJc w:val="left"/>
      <w:pPr>
        <w:tabs>
          <w:tab w:val="num" w:pos="2160"/>
        </w:tabs>
        <w:ind w:left="2160" w:hanging="360"/>
      </w:pPr>
      <w:rPr>
        <w:rFonts w:ascii="Arial" w:hAnsi="Arial" w:hint="default"/>
      </w:rPr>
    </w:lvl>
    <w:lvl w:ilvl="3" w:tplc="3BCE99D2" w:tentative="1">
      <w:start w:val="1"/>
      <w:numFmt w:val="bullet"/>
      <w:lvlText w:val="•"/>
      <w:lvlJc w:val="left"/>
      <w:pPr>
        <w:tabs>
          <w:tab w:val="num" w:pos="2880"/>
        </w:tabs>
        <w:ind w:left="2880" w:hanging="360"/>
      </w:pPr>
      <w:rPr>
        <w:rFonts w:ascii="Arial" w:hAnsi="Arial" w:hint="default"/>
      </w:rPr>
    </w:lvl>
    <w:lvl w:ilvl="4" w:tplc="8244DEFA" w:tentative="1">
      <w:start w:val="1"/>
      <w:numFmt w:val="bullet"/>
      <w:lvlText w:val="•"/>
      <w:lvlJc w:val="left"/>
      <w:pPr>
        <w:tabs>
          <w:tab w:val="num" w:pos="3600"/>
        </w:tabs>
        <w:ind w:left="3600" w:hanging="360"/>
      </w:pPr>
      <w:rPr>
        <w:rFonts w:ascii="Arial" w:hAnsi="Arial" w:hint="default"/>
      </w:rPr>
    </w:lvl>
    <w:lvl w:ilvl="5" w:tplc="D1CC0E6E" w:tentative="1">
      <w:start w:val="1"/>
      <w:numFmt w:val="bullet"/>
      <w:lvlText w:val="•"/>
      <w:lvlJc w:val="left"/>
      <w:pPr>
        <w:tabs>
          <w:tab w:val="num" w:pos="4320"/>
        </w:tabs>
        <w:ind w:left="4320" w:hanging="360"/>
      </w:pPr>
      <w:rPr>
        <w:rFonts w:ascii="Arial" w:hAnsi="Arial" w:hint="default"/>
      </w:rPr>
    </w:lvl>
    <w:lvl w:ilvl="6" w:tplc="E9FAC3B6" w:tentative="1">
      <w:start w:val="1"/>
      <w:numFmt w:val="bullet"/>
      <w:lvlText w:val="•"/>
      <w:lvlJc w:val="left"/>
      <w:pPr>
        <w:tabs>
          <w:tab w:val="num" w:pos="5040"/>
        </w:tabs>
        <w:ind w:left="5040" w:hanging="360"/>
      </w:pPr>
      <w:rPr>
        <w:rFonts w:ascii="Arial" w:hAnsi="Arial" w:hint="default"/>
      </w:rPr>
    </w:lvl>
    <w:lvl w:ilvl="7" w:tplc="D072226C" w:tentative="1">
      <w:start w:val="1"/>
      <w:numFmt w:val="bullet"/>
      <w:lvlText w:val="•"/>
      <w:lvlJc w:val="left"/>
      <w:pPr>
        <w:tabs>
          <w:tab w:val="num" w:pos="5760"/>
        </w:tabs>
        <w:ind w:left="5760" w:hanging="360"/>
      </w:pPr>
      <w:rPr>
        <w:rFonts w:ascii="Arial" w:hAnsi="Arial" w:hint="default"/>
      </w:rPr>
    </w:lvl>
    <w:lvl w:ilvl="8" w:tplc="FBD836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1381ED0"/>
    <w:multiLevelType w:val="hybridMultilevel"/>
    <w:tmpl w:val="84E27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8A6752"/>
    <w:multiLevelType w:val="hybridMultilevel"/>
    <w:tmpl w:val="E3DAC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0E74A9"/>
    <w:multiLevelType w:val="hybridMultilevel"/>
    <w:tmpl w:val="8CAE72F6"/>
    <w:lvl w:ilvl="0" w:tplc="D53845F6">
      <w:start w:val="1"/>
      <w:numFmt w:val="bullet"/>
      <w:lvlText w:val="•"/>
      <w:lvlJc w:val="left"/>
      <w:pPr>
        <w:tabs>
          <w:tab w:val="num" w:pos="720"/>
        </w:tabs>
        <w:ind w:left="720" w:hanging="360"/>
      </w:pPr>
      <w:rPr>
        <w:rFonts w:ascii="Arial" w:hAnsi="Arial" w:hint="default"/>
      </w:rPr>
    </w:lvl>
    <w:lvl w:ilvl="1" w:tplc="7F28936C" w:tentative="1">
      <w:start w:val="1"/>
      <w:numFmt w:val="bullet"/>
      <w:lvlText w:val="•"/>
      <w:lvlJc w:val="left"/>
      <w:pPr>
        <w:tabs>
          <w:tab w:val="num" w:pos="1440"/>
        </w:tabs>
        <w:ind w:left="1440" w:hanging="360"/>
      </w:pPr>
      <w:rPr>
        <w:rFonts w:ascii="Arial" w:hAnsi="Arial" w:hint="default"/>
      </w:rPr>
    </w:lvl>
    <w:lvl w:ilvl="2" w:tplc="2F3C87CA" w:tentative="1">
      <w:start w:val="1"/>
      <w:numFmt w:val="bullet"/>
      <w:lvlText w:val="•"/>
      <w:lvlJc w:val="left"/>
      <w:pPr>
        <w:tabs>
          <w:tab w:val="num" w:pos="2160"/>
        </w:tabs>
        <w:ind w:left="2160" w:hanging="360"/>
      </w:pPr>
      <w:rPr>
        <w:rFonts w:ascii="Arial" w:hAnsi="Arial" w:hint="default"/>
      </w:rPr>
    </w:lvl>
    <w:lvl w:ilvl="3" w:tplc="CBC848CE" w:tentative="1">
      <w:start w:val="1"/>
      <w:numFmt w:val="bullet"/>
      <w:lvlText w:val="•"/>
      <w:lvlJc w:val="left"/>
      <w:pPr>
        <w:tabs>
          <w:tab w:val="num" w:pos="2880"/>
        </w:tabs>
        <w:ind w:left="2880" w:hanging="360"/>
      </w:pPr>
      <w:rPr>
        <w:rFonts w:ascii="Arial" w:hAnsi="Arial" w:hint="default"/>
      </w:rPr>
    </w:lvl>
    <w:lvl w:ilvl="4" w:tplc="7F00C2C2" w:tentative="1">
      <w:start w:val="1"/>
      <w:numFmt w:val="bullet"/>
      <w:lvlText w:val="•"/>
      <w:lvlJc w:val="left"/>
      <w:pPr>
        <w:tabs>
          <w:tab w:val="num" w:pos="3600"/>
        </w:tabs>
        <w:ind w:left="3600" w:hanging="360"/>
      </w:pPr>
      <w:rPr>
        <w:rFonts w:ascii="Arial" w:hAnsi="Arial" w:hint="default"/>
      </w:rPr>
    </w:lvl>
    <w:lvl w:ilvl="5" w:tplc="0360D9BE" w:tentative="1">
      <w:start w:val="1"/>
      <w:numFmt w:val="bullet"/>
      <w:lvlText w:val="•"/>
      <w:lvlJc w:val="left"/>
      <w:pPr>
        <w:tabs>
          <w:tab w:val="num" w:pos="4320"/>
        </w:tabs>
        <w:ind w:left="4320" w:hanging="360"/>
      </w:pPr>
      <w:rPr>
        <w:rFonts w:ascii="Arial" w:hAnsi="Arial" w:hint="default"/>
      </w:rPr>
    </w:lvl>
    <w:lvl w:ilvl="6" w:tplc="022EDCF4" w:tentative="1">
      <w:start w:val="1"/>
      <w:numFmt w:val="bullet"/>
      <w:lvlText w:val="•"/>
      <w:lvlJc w:val="left"/>
      <w:pPr>
        <w:tabs>
          <w:tab w:val="num" w:pos="5040"/>
        </w:tabs>
        <w:ind w:left="5040" w:hanging="360"/>
      </w:pPr>
      <w:rPr>
        <w:rFonts w:ascii="Arial" w:hAnsi="Arial" w:hint="default"/>
      </w:rPr>
    </w:lvl>
    <w:lvl w:ilvl="7" w:tplc="35F44EA2" w:tentative="1">
      <w:start w:val="1"/>
      <w:numFmt w:val="bullet"/>
      <w:lvlText w:val="•"/>
      <w:lvlJc w:val="left"/>
      <w:pPr>
        <w:tabs>
          <w:tab w:val="num" w:pos="5760"/>
        </w:tabs>
        <w:ind w:left="5760" w:hanging="360"/>
      </w:pPr>
      <w:rPr>
        <w:rFonts w:ascii="Arial" w:hAnsi="Arial" w:hint="default"/>
      </w:rPr>
    </w:lvl>
    <w:lvl w:ilvl="8" w:tplc="ED8E101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C607EE9"/>
    <w:multiLevelType w:val="hybridMultilevel"/>
    <w:tmpl w:val="2E944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811033"/>
    <w:multiLevelType w:val="multilevel"/>
    <w:tmpl w:val="656C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
  </w:num>
  <w:num w:numId="3">
    <w:abstractNumId w:val="4"/>
  </w:num>
  <w:num w:numId="4">
    <w:abstractNumId w:val="6"/>
  </w:num>
  <w:num w:numId="5">
    <w:abstractNumId w:val="1"/>
  </w:num>
  <w:num w:numId="6">
    <w:abstractNumId w:val="2"/>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6E8"/>
    <w:rsid w:val="00021376"/>
    <w:rsid w:val="000412CC"/>
    <w:rsid w:val="00064FF5"/>
    <w:rsid w:val="000A66EE"/>
    <w:rsid w:val="0016769C"/>
    <w:rsid w:val="00172211"/>
    <w:rsid w:val="001F555E"/>
    <w:rsid w:val="00217632"/>
    <w:rsid w:val="0026123B"/>
    <w:rsid w:val="0027257D"/>
    <w:rsid w:val="002E37DC"/>
    <w:rsid w:val="00334E38"/>
    <w:rsid w:val="00365F4F"/>
    <w:rsid w:val="00426F7A"/>
    <w:rsid w:val="004520D8"/>
    <w:rsid w:val="00453B5A"/>
    <w:rsid w:val="004878D7"/>
    <w:rsid w:val="004D2C04"/>
    <w:rsid w:val="004E794C"/>
    <w:rsid w:val="00662318"/>
    <w:rsid w:val="006E6C80"/>
    <w:rsid w:val="006F2536"/>
    <w:rsid w:val="00772522"/>
    <w:rsid w:val="007C1046"/>
    <w:rsid w:val="007D3090"/>
    <w:rsid w:val="00816A29"/>
    <w:rsid w:val="00870A08"/>
    <w:rsid w:val="008911F6"/>
    <w:rsid w:val="008921E8"/>
    <w:rsid w:val="008E2D67"/>
    <w:rsid w:val="00926F3C"/>
    <w:rsid w:val="009348B4"/>
    <w:rsid w:val="00940E10"/>
    <w:rsid w:val="00964FD0"/>
    <w:rsid w:val="009B1094"/>
    <w:rsid w:val="009D4216"/>
    <w:rsid w:val="00A366A3"/>
    <w:rsid w:val="00A803A2"/>
    <w:rsid w:val="00A94E77"/>
    <w:rsid w:val="00AA36ED"/>
    <w:rsid w:val="00AD2417"/>
    <w:rsid w:val="00AE3AF1"/>
    <w:rsid w:val="00B34206"/>
    <w:rsid w:val="00B41E74"/>
    <w:rsid w:val="00B77C44"/>
    <w:rsid w:val="00C173FA"/>
    <w:rsid w:val="00C227D9"/>
    <w:rsid w:val="00C716D7"/>
    <w:rsid w:val="00C848E2"/>
    <w:rsid w:val="00D809C5"/>
    <w:rsid w:val="00D84EE9"/>
    <w:rsid w:val="00D869B8"/>
    <w:rsid w:val="00D92E3F"/>
    <w:rsid w:val="00D93973"/>
    <w:rsid w:val="00DA62BC"/>
    <w:rsid w:val="00DC5EDB"/>
    <w:rsid w:val="00E03606"/>
    <w:rsid w:val="00E22C93"/>
    <w:rsid w:val="00EB674B"/>
    <w:rsid w:val="00EC0FD1"/>
    <w:rsid w:val="00EF02D0"/>
    <w:rsid w:val="00F00267"/>
    <w:rsid w:val="00F069D9"/>
    <w:rsid w:val="00F236E8"/>
    <w:rsid w:val="00F337BA"/>
    <w:rsid w:val="00F3387E"/>
    <w:rsid w:val="00F67F89"/>
    <w:rsid w:val="00F94270"/>
    <w:rsid w:val="00FB7778"/>
    <w:rsid w:val="00FC7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56E3"/>
  <w15:chartTrackingRefBased/>
  <w15:docId w15:val="{2BED2BEA-7116-47AA-880E-04F225F97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173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2E37D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37DC"/>
    <w:rPr>
      <w:sz w:val="20"/>
      <w:szCs w:val="20"/>
    </w:rPr>
  </w:style>
  <w:style w:type="character" w:styleId="EndnoteReference">
    <w:name w:val="endnote reference"/>
    <w:basedOn w:val="DefaultParagraphFont"/>
    <w:uiPriority w:val="99"/>
    <w:semiHidden/>
    <w:unhideWhenUsed/>
    <w:rsid w:val="002E37DC"/>
    <w:rPr>
      <w:vertAlign w:val="superscript"/>
    </w:rPr>
  </w:style>
  <w:style w:type="character" w:styleId="Hyperlink">
    <w:name w:val="Hyperlink"/>
    <w:basedOn w:val="DefaultParagraphFont"/>
    <w:uiPriority w:val="99"/>
    <w:unhideWhenUsed/>
    <w:rsid w:val="002E37DC"/>
    <w:rPr>
      <w:color w:val="0563C1" w:themeColor="hyperlink"/>
      <w:u w:val="single"/>
    </w:rPr>
  </w:style>
  <w:style w:type="character" w:styleId="UnresolvedMention">
    <w:name w:val="Unresolved Mention"/>
    <w:basedOn w:val="DefaultParagraphFont"/>
    <w:uiPriority w:val="99"/>
    <w:semiHidden/>
    <w:unhideWhenUsed/>
    <w:rsid w:val="002E37DC"/>
    <w:rPr>
      <w:color w:val="605E5C"/>
      <w:shd w:val="clear" w:color="auto" w:fill="E1DFDD"/>
    </w:rPr>
  </w:style>
  <w:style w:type="paragraph" w:styleId="HTMLPreformatted">
    <w:name w:val="HTML Preformatted"/>
    <w:basedOn w:val="Normal"/>
    <w:link w:val="HTMLPreformattedChar"/>
    <w:uiPriority w:val="99"/>
    <w:unhideWhenUsed/>
    <w:rsid w:val="00453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53B5A"/>
    <w:rPr>
      <w:rFonts w:ascii="Courier New" w:eastAsia="Times New Roman" w:hAnsi="Courier New" w:cs="Courier New"/>
      <w:sz w:val="20"/>
      <w:szCs w:val="20"/>
    </w:rPr>
  </w:style>
  <w:style w:type="paragraph" w:styleId="ListParagraph">
    <w:name w:val="List Paragraph"/>
    <w:basedOn w:val="Normal"/>
    <w:uiPriority w:val="34"/>
    <w:qFormat/>
    <w:rsid w:val="00D809C5"/>
    <w:pPr>
      <w:ind w:left="720"/>
      <w:contextualSpacing/>
    </w:pPr>
  </w:style>
  <w:style w:type="paragraph" w:styleId="FootnoteText">
    <w:name w:val="footnote text"/>
    <w:basedOn w:val="Normal"/>
    <w:link w:val="FootnoteTextChar"/>
    <w:uiPriority w:val="99"/>
    <w:semiHidden/>
    <w:unhideWhenUsed/>
    <w:rsid w:val="007C10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1046"/>
    <w:rPr>
      <w:sz w:val="20"/>
      <w:szCs w:val="20"/>
    </w:rPr>
  </w:style>
  <w:style w:type="character" w:styleId="FootnoteReference">
    <w:name w:val="footnote reference"/>
    <w:basedOn w:val="DefaultParagraphFont"/>
    <w:uiPriority w:val="99"/>
    <w:semiHidden/>
    <w:unhideWhenUsed/>
    <w:rsid w:val="007C1046"/>
    <w:rPr>
      <w:vertAlign w:val="superscript"/>
    </w:rPr>
  </w:style>
  <w:style w:type="paragraph" w:styleId="Header">
    <w:name w:val="header"/>
    <w:basedOn w:val="Normal"/>
    <w:link w:val="HeaderChar"/>
    <w:uiPriority w:val="99"/>
    <w:unhideWhenUsed/>
    <w:rsid w:val="002176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632"/>
  </w:style>
  <w:style w:type="paragraph" w:styleId="Footer">
    <w:name w:val="footer"/>
    <w:basedOn w:val="Normal"/>
    <w:link w:val="FooterChar"/>
    <w:uiPriority w:val="99"/>
    <w:unhideWhenUsed/>
    <w:rsid w:val="002176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632"/>
  </w:style>
  <w:style w:type="character" w:customStyle="1" w:styleId="Heading2Char">
    <w:name w:val="Heading 2 Char"/>
    <w:basedOn w:val="DefaultParagraphFont"/>
    <w:link w:val="Heading2"/>
    <w:uiPriority w:val="9"/>
    <w:rsid w:val="00C173FA"/>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545479">
      <w:bodyDiv w:val="1"/>
      <w:marLeft w:val="0"/>
      <w:marRight w:val="0"/>
      <w:marTop w:val="0"/>
      <w:marBottom w:val="0"/>
      <w:divBdr>
        <w:top w:val="none" w:sz="0" w:space="0" w:color="auto"/>
        <w:left w:val="none" w:sz="0" w:space="0" w:color="auto"/>
        <w:bottom w:val="none" w:sz="0" w:space="0" w:color="auto"/>
        <w:right w:val="none" w:sz="0" w:space="0" w:color="auto"/>
      </w:divBdr>
    </w:div>
    <w:div w:id="587692931">
      <w:bodyDiv w:val="1"/>
      <w:marLeft w:val="0"/>
      <w:marRight w:val="0"/>
      <w:marTop w:val="0"/>
      <w:marBottom w:val="0"/>
      <w:divBdr>
        <w:top w:val="none" w:sz="0" w:space="0" w:color="auto"/>
        <w:left w:val="none" w:sz="0" w:space="0" w:color="auto"/>
        <w:bottom w:val="none" w:sz="0" w:space="0" w:color="auto"/>
        <w:right w:val="none" w:sz="0" w:space="0" w:color="auto"/>
      </w:divBdr>
      <w:divsChild>
        <w:div w:id="1843858904">
          <w:marLeft w:val="1080"/>
          <w:marRight w:val="0"/>
          <w:marTop w:val="100"/>
          <w:marBottom w:val="0"/>
          <w:divBdr>
            <w:top w:val="none" w:sz="0" w:space="0" w:color="auto"/>
            <w:left w:val="none" w:sz="0" w:space="0" w:color="auto"/>
            <w:bottom w:val="none" w:sz="0" w:space="0" w:color="auto"/>
            <w:right w:val="none" w:sz="0" w:space="0" w:color="auto"/>
          </w:divBdr>
        </w:div>
      </w:divsChild>
    </w:div>
    <w:div w:id="765613558">
      <w:bodyDiv w:val="1"/>
      <w:marLeft w:val="0"/>
      <w:marRight w:val="0"/>
      <w:marTop w:val="0"/>
      <w:marBottom w:val="0"/>
      <w:divBdr>
        <w:top w:val="none" w:sz="0" w:space="0" w:color="auto"/>
        <w:left w:val="none" w:sz="0" w:space="0" w:color="auto"/>
        <w:bottom w:val="none" w:sz="0" w:space="0" w:color="auto"/>
        <w:right w:val="none" w:sz="0" w:space="0" w:color="auto"/>
      </w:divBdr>
      <w:divsChild>
        <w:div w:id="1915621054">
          <w:marLeft w:val="360"/>
          <w:marRight w:val="0"/>
          <w:marTop w:val="200"/>
          <w:marBottom w:val="0"/>
          <w:divBdr>
            <w:top w:val="none" w:sz="0" w:space="0" w:color="auto"/>
            <w:left w:val="none" w:sz="0" w:space="0" w:color="auto"/>
            <w:bottom w:val="none" w:sz="0" w:space="0" w:color="auto"/>
            <w:right w:val="none" w:sz="0" w:space="0" w:color="auto"/>
          </w:divBdr>
        </w:div>
      </w:divsChild>
    </w:div>
    <w:div w:id="969437308">
      <w:bodyDiv w:val="1"/>
      <w:marLeft w:val="0"/>
      <w:marRight w:val="0"/>
      <w:marTop w:val="0"/>
      <w:marBottom w:val="0"/>
      <w:divBdr>
        <w:top w:val="none" w:sz="0" w:space="0" w:color="auto"/>
        <w:left w:val="none" w:sz="0" w:space="0" w:color="auto"/>
        <w:bottom w:val="none" w:sz="0" w:space="0" w:color="auto"/>
        <w:right w:val="none" w:sz="0" w:space="0" w:color="auto"/>
      </w:divBdr>
      <w:divsChild>
        <w:div w:id="440731223">
          <w:marLeft w:val="360"/>
          <w:marRight w:val="0"/>
          <w:marTop w:val="200"/>
          <w:marBottom w:val="0"/>
          <w:divBdr>
            <w:top w:val="none" w:sz="0" w:space="0" w:color="auto"/>
            <w:left w:val="none" w:sz="0" w:space="0" w:color="auto"/>
            <w:bottom w:val="none" w:sz="0" w:space="0" w:color="auto"/>
            <w:right w:val="none" w:sz="0" w:space="0" w:color="auto"/>
          </w:divBdr>
        </w:div>
      </w:divsChild>
    </w:div>
    <w:div w:id="1199977439">
      <w:bodyDiv w:val="1"/>
      <w:marLeft w:val="0"/>
      <w:marRight w:val="0"/>
      <w:marTop w:val="0"/>
      <w:marBottom w:val="0"/>
      <w:divBdr>
        <w:top w:val="none" w:sz="0" w:space="0" w:color="auto"/>
        <w:left w:val="none" w:sz="0" w:space="0" w:color="auto"/>
        <w:bottom w:val="none" w:sz="0" w:space="0" w:color="auto"/>
        <w:right w:val="none" w:sz="0" w:space="0" w:color="auto"/>
      </w:divBdr>
    </w:div>
    <w:div w:id="1690791734">
      <w:bodyDiv w:val="1"/>
      <w:marLeft w:val="0"/>
      <w:marRight w:val="0"/>
      <w:marTop w:val="0"/>
      <w:marBottom w:val="0"/>
      <w:divBdr>
        <w:top w:val="none" w:sz="0" w:space="0" w:color="auto"/>
        <w:left w:val="none" w:sz="0" w:space="0" w:color="auto"/>
        <w:bottom w:val="none" w:sz="0" w:space="0" w:color="auto"/>
        <w:right w:val="none" w:sz="0" w:space="0" w:color="auto"/>
      </w:divBdr>
      <w:divsChild>
        <w:div w:id="912396051">
          <w:marLeft w:val="360"/>
          <w:marRight w:val="0"/>
          <w:marTop w:val="200"/>
          <w:marBottom w:val="0"/>
          <w:divBdr>
            <w:top w:val="none" w:sz="0" w:space="0" w:color="auto"/>
            <w:left w:val="none" w:sz="0" w:space="0" w:color="auto"/>
            <w:bottom w:val="none" w:sz="0" w:space="0" w:color="auto"/>
            <w:right w:val="none" w:sz="0" w:space="0" w:color="auto"/>
          </w:divBdr>
        </w:div>
      </w:divsChild>
    </w:div>
    <w:div w:id="1944223080">
      <w:bodyDiv w:val="1"/>
      <w:marLeft w:val="0"/>
      <w:marRight w:val="0"/>
      <w:marTop w:val="0"/>
      <w:marBottom w:val="0"/>
      <w:divBdr>
        <w:top w:val="none" w:sz="0" w:space="0" w:color="auto"/>
        <w:left w:val="none" w:sz="0" w:space="0" w:color="auto"/>
        <w:bottom w:val="none" w:sz="0" w:space="0" w:color="auto"/>
        <w:right w:val="none" w:sz="0" w:space="0" w:color="auto"/>
      </w:divBdr>
      <w:divsChild>
        <w:div w:id="98914146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cga.xenahubs.net/download/TCGA.KIRC.sampleMap/HiSeqV2.gz"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cancergenome.nih.gov/abouttc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E48F7-1D4C-41F7-8654-93086C2D9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15</Pages>
  <Words>2129</Words>
  <Characters>12139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Jenkins</dc:creator>
  <cp:keywords/>
  <dc:description/>
  <cp:lastModifiedBy>Frank Jenkins</cp:lastModifiedBy>
  <cp:revision>27</cp:revision>
  <dcterms:created xsi:type="dcterms:W3CDTF">2018-07-30T21:16:00Z</dcterms:created>
  <dcterms:modified xsi:type="dcterms:W3CDTF">2018-08-10T19:13:00Z</dcterms:modified>
</cp:coreProperties>
</file>